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0" w:firstLine="880" w:firstLineChars="200"/>
        <w:jc w:val="center"/>
        <w:rPr>
          <w:rFonts w:hint="eastAsia" w:ascii="仿宋_GB2312" w:hAnsi="仿宋_GB2312" w:eastAsia="仿宋_GB2312" w:cs="仿宋_GB2312"/>
          <w:color w:val="auto"/>
          <w:kern w:val="2"/>
          <w:sz w:val="44"/>
          <w:szCs w:val="44"/>
          <w:lang w:val="en-US" w:eastAsia="zh-CN" w:bidi="ar"/>
        </w:rPr>
      </w:pPr>
      <w:r>
        <w:rPr>
          <w:rFonts w:hint="eastAsia" w:ascii="仿宋_GB2312" w:hAnsi="仿宋_GB2312" w:eastAsia="仿宋_GB2312" w:cs="仿宋_GB2312"/>
          <w:color w:val="auto"/>
          <w:kern w:val="2"/>
          <w:sz w:val="44"/>
          <w:szCs w:val="44"/>
          <w:lang w:val="en-US" w:eastAsia="zh-CN" w:bidi="ar"/>
        </w:rPr>
        <w:t>模块三  全过程造价管理综合应用</w:t>
      </w:r>
    </w:p>
    <w:p>
      <w:pPr>
        <w:spacing w:after="0" w:line="360" w:lineRule="auto"/>
        <w:ind w:left="0" w:firstLine="560" w:firstLineChars="200"/>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本试卷内容为甘肃省职业院校技能大赛建设工程数字化计量与计价赛项，模块三“全过程造价管理综合应用”试卷内容，本试卷分为单项选择题、多项选择题。单项选择题为60道，多项选择题为20道。比赛形式为个人赛（成绩为团队成员总分/3），本试卷比赛时长为60分钟。在省赛中权重占比为20%。 </w:t>
      </w:r>
    </w:p>
    <w:p>
      <w:pPr>
        <w:keepNext w:val="0"/>
        <w:keepLines w:val="0"/>
        <w:pageBreakBefore w:val="0"/>
        <w:kinsoku/>
        <w:wordWrap/>
        <w:overflowPunct/>
        <w:topLinePunct w:val="0"/>
        <w:autoSpaceDE/>
        <w:autoSpaceDN/>
        <w:bidi w:val="0"/>
        <w:spacing w:after="0" w:line="360" w:lineRule="auto"/>
        <w:jc w:val="both"/>
        <w:textAlignment w:val="auto"/>
        <w:rPr>
          <w:rFonts w:hint="eastAsia" w:ascii="仿宋_GB2312" w:hAnsi="仿宋_GB2312" w:eastAsia="仿宋_GB2312" w:cs="仿宋_GB2312"/>
          <w:color w:val="auto"/>
          <w:kern w:val="2"/>
          <w:sz w:val="28"/>
          <w:szCs w:val="28"/>
          <w:lang w:val="en-US" w:eastAsia="zh-CN" w:bidi="ar"/>
        </w:rPr>
      </w:pPr>
    </w:p>
    <w:p>
      <w:pPr>
        <w:keepNext w:val="0"/>
        <w:keepLines w:val="0"/>
        <w:pageBreakBefore w:val="0"/>
        <w:kinsoku/>
        <w:wordWrap/>
        <w:overflowPunct/>
        <w:topLinePunct w:val="0"/>
        <w:autoSpaceDE/>
        <w:autoSpaceDN/>
        <w:bidi w:val="0"/>
        <w:spacing w:after="0" w:line="360" w:lineRule="auto"/>
        <w:jc w:val="both"/>
        <w:textAlignment w:val="auto"/>
        <w:rPr>
          <w:rFonts w:hint="eastAsia" w:ascii="仿宋_GB2312" w:hAnsi="仿宋_GB2312" w:eastAsia="仿宋_GB2312" w:cs="仿宋_GB2312"/>
          <w:b/>
          <w:bCs/>
          <w:color w:val="auto"/>
          <w:kern w:val="2"/>
          <w:sz w:val="28"/>
          <w:szCs w:val="28"/>
          <w:lang w:val="en-US" w:eastAsia="zh-CN" w:bidi="ar"/>
        </w:rPr>
      </w:pPr>
      <w:r>
        <w:rPr>
          <w:rFonts w:hint="eastAsia" w:ascii="仿宋_GB2312" w:hAnsi="仿宋_GB2312" w:eastAsia="仿宋_GB2312" w:cs="仿宋_GB2312"/>
          <w:b/>
          <w:bCs/>
          <w:color w:val="auto"/>
          <w:kern w:val="2"/>
          <w:sz w:val="28"/>
          <w:szCs w:val="28"/>
          <w:lang w:val="en-US" w:eastAsia="zh-CN" w:bidi="ar"/>
        </w:rPr>
        <w:t>一、 单选题，60题，每道题的备选项中，只有一个最符合题意。每题1分，错选本题不得分。</w:t>
      </w:r>
      <w:r>
        <w:rPr>
          <w:b/>
          <w:bCs/>
        </w:rPr>
        <w:t xml:space="preserve">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1.建设工程质保期的起算日是（ ）。</w:t>
      </w:r>
      <w:bookmarkStart w:id="0" w:name="_GoBack"/>
      <w:bookmarkEnd w:id="0"/>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A.工程完工之日      B.工程竣工验收合格之日</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C.工程开始使用之日  D.发包人签收竣工验收申请之日</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2.由甲施工企业设立的乙项目经理部订立采购合同，未能按时支付合同价款，应当承担违约责任的主体是（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A.乙     B.甲     C.甲的法定代表人      D.乙的项目经理</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3.关于安装工程一切险保险期限的说法，正确的是（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A.安装工程一切险对旧机器设备仅负有考核期的保险责任，不承担维修期的保险责任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B.安装工程一切险的保险期内，一般应当包括两个试车考核期</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C.安装工程一切险的保险责任自保险工程在工地动工或者用于保险工程的材料、设备运抵工地之时起始</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D.安装工程一切险对考核期的保险责任一般不超过1个月</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4.某固定节拍流水施工，其中施工过程m=3，施工段n=4，流水节拍t=2，其中施工过程I和施工过程Ⅱ之间组织间歇一天，该流水施工总工期为（ ）天。</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A.10          B.11           C.12          D.13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5.不能计入材料定额消耗量的是（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A.主要材料    B.辅助材料    C.周转性材料     D.回收材料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6.某施工机械预计使用8年,一次大修理费为4500元，寿命周期大修理次数为2次,耐用总台班为2000台班,则台班大修理费为（ ）元。</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A.6.75     B.4.50         C.0.84          D.0.56</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7.关于暂列金额，下列说法中正确的是（ ）。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A.用于必须要发生但暂时不能确定价格的项目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B.由承包人支配，按签证价格结算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C.不能用于因工程变更而发生的索赔支付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D.不同专业预留的暂列金额应分别列项</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8.采用简易计税方法计算建筑业增值税应纳税额时，增值税征收率为（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A、6%       B、9%       C、3%       D、13%</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9.已知招标工程量清单中土方工程量为2000㎥，某投标人根据施工方案确定的土方工程量为3800㎥根据测算完成该土方工程的人工费为50000元，机械费为0000元，材料费为10000元，管理费按照人、料、机费用之和的10%计取，利润按人、料、机费用以及管理费之和的6%计取。其他因素均不考虑。则该 土方工程的投标综合单价为（  ）元/㎥。</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A、58.30     B、30.53      C、30.68     D、58.00</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10.根据《标准设计施工总承包招标文件》，发包人最迟应当在监理人收到进度付款申请单的（  ）天内，</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将进度应付款支付给承包人。</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A、14          B、21          C、28          D、35</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11.某公司年初借入资金 1000 万元，期限 3 年，按年复利计息，年利率 10%，到期一次还本付息。则第三 年末应偿还的本利和为（  ）万元。</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A、1210       B、1300       C、1331       D、1464</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12.下列工程量清单正确的是（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A.∑分部分项工程量×工料单价</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B.∑措施项目工程量×措施项目工料单价</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C.其他项目 =暂列金额+暂估价+计日工+总承包服务费</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D.单项工程费=分部分项工程费+措施项目费+其他项目+税金</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13.根据现行工程量计算规范，适宜采用分部分项工程项目清单计价方式计价的措施项目费是（  ）。</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A、二次搬运费                      B、超高施工增加费</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C、已完工程及设备保护费            D、地上、地下设施临时保护费</w:t>
      </w:r>
    </w:p>
    <w:p>
      <w:pPr>
        <w:jc w:val="lef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14.编制预算定额人工日消耗量时，实际工程现场运距超过预算定额取定运距时的用工应计入（  ）。</w:t>
      </w:r>
    </w:p>
    <w:p>
      <w:pPr>
        <w:jc w:val="left"/>
        <w:rPr>
          <w:rFonts w:hint="eastAsia" w:ascii="仿宋_GB2312" w:hAnsi="仿宋_GB2312" w:eastAsia="仿宋_GB2312" w:cs="仿宋_GB2312"/>
          <w:sz w:val="32"/>
          <w:szCs w:val="40"/>
          <w:highlight w:val="red"/>
          <w:lang w:val="en-US" w:eastAsia="zh-CN"/>
        </w:rPr>
      </w:pPr>
      <w:r>
        <w:rPr>
          <w:rFonts w:hint="eastAsia" w:ascii="仿宋_GB2312" w:hAnsi="仿宋_GB2312" w:eastAsia="仿宋_GB2312" w:cs="仿宋_GB2312"/>
          <w:sz w:val="32"/>
          <w:szCs w:val="40"/>
          <w:lang w:val="en-US" w:eastAsia="zh-CN"/>
        </w:rPr>
        <w:t>A、超运距用工      B、辅助用工      C、二次搬运用工      D、人工幅度差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15.依据工程所在地区颁发的计价定额等编制最高投标限价、进行分部分项工程综合单价组价时，首先应 确定的是（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A、风险范围与幅度                B、工程造价信息确定的人工单价等</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C、定额项目名称及工程量          D、管理费率和利润率</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16.投标报价时，投标人需严格按照招标人所列项目明细进行自主报价的是（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A、总价措施项目      B、专业工程暂估价      C、计日工      D、规费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17.某一砖半厚混水墙，采用规格为 240×115×53 的烧结煤矸石普通砖砌筑，灰浆厚度为 10mm，每 10 ㎥ 该种墙体砖的净用量为（  ）千块。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A、5.148        B、5.219        C、6.374        D、6.462</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18.根据《建设工程工程量清单计价规范》，关于使用国有资金投资的工程项目招标控制价的说法， 正确的 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A、招标控制价是所有投标人的最高投标限价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B、招标控制价可以根据需要在开标时适当上调或者下浮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C、招标控制价必须由工程造价咨询人编制，不得由招标人自行编制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D、招标控制价性质与标底相同，必须保密</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19.某进口设备到岸价为1500万元，银行财务费、外贸手续费合计36万元，关税300万元，消费税和增值税税率分别为10%、17%，则该进口设备原价为（ ）万元。</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A.2386.8      B.2376.0      C.2362.9         D.2352.6</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20.关于我国项目前期各阶段投资估算的精度要求，下列说法中正确的是（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A.项目建议书阶段，允许误差大于±30%</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B.投资设想阶段，要求误差控制在±30%以内</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C.预可行性研究阶段，要求误差控制在±20%以内</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D.可行性研究阶段，要求误差控制在±15%以内</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21.对设计单位而言，检验工程设计是否经济合理的工程造价是（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A.投资估算         B.施工预算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C.施工图预算       D.工程结算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22.可用于费用和进度综合控制的施工成本控制方法是（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A.成本分析表法</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B.工期成本同步分析法</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C.挣值分析法</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D.价值工程方法</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23.某国内工程合同对欠付工程利息计付标准和付款时间没有约定，若发生了欠款事件时，下列利息支付的说法中错误的是（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A.按照中国人民银行发布的同期各类贷款放利率中的高值计息</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B.建设工程已实际交付的，计息日为交付之日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C.建设工程没有交付的，计息日为提交竣工结算文件之日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D.建设工程未交付，工程价款也未结算的，计息日为当事人起诉之日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24.关于工程量清单计价适用范围，下列说法正确的是（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A.达到或超过规定建设规模的工程，必须采用工程量清单计价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B.达到或超过规定投资数额的工程，必须采用工程量清单计价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C.国有资金占投资总额不足50%的建设工程发承包，不必采用工程量清单计价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D.不采用工程量清单计价的建设工程，应执行计价规范中除工程量清单等专门性规定以外的规定</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25.关于招标工程量清单中分部分项工程工程量清单的编制，下列说法正确的是（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A.所列项目应该是施工过程中以其本身构成工程实体的分项工程或可以精确计量的措施分项项目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B.拟建施工图纸有体现，但专业工程量计算规范附录中没有相对应项目的，则必须编制这些分项工程的补充项目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C.补充项目的工程量计算规则，应符合“计算规则要具有可计算性”且“计算结果要具有唯一性”的原则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D.采用标准图集的分项工程，其特征描述应直接采用“详见××图集”方式</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26.竣工决算编制程序的内容有：①收集、整理有关项目竣工决算依据；②编写项目竣工决算说明书；③清理项目账务、债务和结算物资；④报上级审查；⑤填写项目竣工决算报告。其正确的顺序是（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A.②-①-③-⑤-④</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B.②-①-④-③-⑤</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C.①-③-⑤-②-④</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D.①-④-②-③-⑤</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27.确定施工机械台班定额消耗量前需计算机械时间利用系数，其计算公式正确的是（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A.机械时间利用系数</w:t>
      </w:r>
      <w:r>
        <w:rPr>
          <w:rFonts w:hint="default" w:ascii="Times New Roman" w:hAnsi="Times New Roman" w:eastAsia="仿宋_GB2312" w:cs="Times New Roman"/>
          <w:sz w:val="32"/>
          <w:szCs w:val="40"/>
          <w:highlight w:val="none"/>
          <w:lang w:val="en-US" w:eastAsia="zh-CN"/>
        </w:rPr>
        <w:t>=</w:t>
      </w:r>
      <w:r>
        <w:rPr>
          <w:rFonts w:hint="eastAsia" w:ascii="仿宋_GB2312" w:hAnsi="仿宋_GB2312" w:eastAsia="仿宋_GB2312" w:cs="仿宋_GB2312"/>
          <w:sz w:val="32"/>
          <w:szCs w:val="40"/>
          <w:highlight w:val="none"/>
          <w:lang w:val="en-US" w:eastAsia="zh-CN"/>
        </w:rPr>
        <w:t>机械纯工作1h正常生产率×工作班纯工作时间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B.机械时间利用系数</w:t>
      </w:r>
      <w:r>
        <w:rPr>
          <w:rFonts w:hint="default" w:ascii="Times New Roman" w:hAnsi="Times New Roman" w:eastAsia="仿宋_GB2312" w:cs="Times New Roman"/>
          <w:sz w:val="32"/>
          <w:szCs w:val="40"/>
          <w:highlight w:val="none"/>
          <w:lang w:val="en-US" w:eastAsia="zh-CN"/>
        </w:rPr>
        <w:t>=</w:t>
      </w:r>
      <w:r>
        <w:rPr>
          <w:rFonts w:hint="eastAsia" w:ascii="仿宋_GB2312" w:hAnsi="仿宋_GB2312" w:eastAsia="仿宋_GB2312" w:cs="仿宋_GB2312"/>
          <w:sz w:val="32"/>
          <w:szCs w:val="40"/>
          <w:highlight w:val="none"/>
          <w:lang w:val="en-US" w:eastAsia="zh-CN"/>
        </w:rPr>
        <w:t>1/机械台班产量定额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C.机械时间利用系数</w:t>
      </w:r>
      <w:r>
        <w:rPr>
          <w:rFonts w:hint="default" w:ascii="Times New Roman" w:hAnsi="Times New Roman" w:eastAsia="仿宋_GB2312" w:cs="Times New Roman"/>
          <w:sz w:val="32"/>
          <w:szCs w:val="40"/>
          <w:highlight w:val="none"/>
          <w:lang w:val="en-US" w:eastAsia="zh-CN"/>
        </w:rPr>
        <w:t>=</w:t>
      </w:r>
      <w:r>
        <w:rPr>
          <w:rFonts w:hint="eastAsia" w:ascii="仿宋_GB2312" w:hAnsi="仿宋_GB2312" w:eastAsia="仿宋_GB2312" w:cs="仿宋_GB2312"/>
          <w:sz w:val="32"/>
          <w:szCs w:val="40"/>
          <w:highlight w:val="none"/>
          <w:lang w:val="en-US" w:eastAsia="zh-CN"/>
        </w:rPr>
        <w:t>机械在一个工作班内纯工作时间/一个工作班延续时间(8h)</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D.机械时间利用系数</w:t>
      </w:r>
      <w:r>
        <w:rPr>
          <w:rFonts w:hint="default" w:ascii="Times New Roman" w:hAnsi="Times New Roman" w:eastAsia="仿宋_GB2312" w:cs="Times New Roman"/>
          <w:sz w:val="32"/>
          <w:szCs w:val="40"/>
          <w:highlight w:val="none"/>
          <w:lang w:val="en-US" w:eastAsia="zh-CN"/>
        </w:rPr>
        <w:t>=</w:t>
      </w:r>
      <w:r>
        <w:rPr>
          <w:rFonts w:hint="eastAsia" w:ascii="仿宋_GB2312" w:hAnsi="仿宋_GB2312" w:eastAsia="仿宋_GB2312" w:cs="仿宋_GB2312"/>
          <w:sz w:val="32"/>
          <w:szCs w:val="40"/>
          <w:highlight w:val="none"/>
          <w:lang w:val="en-US" w:eastAsia="zh-CN"/>
        </w:rPr>
        <w:t>一个工作班延续时间(8h)/机械在一个工作班内纯工作时间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28.某混凝土输送泵每小时纯工作状态可输送混凝土25m3，泵的时间利用系数为0.75，则该混凝土输送泵的产量定额为（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A.150m3/台班                  B.0.67台班/100m3</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C.200m3/台班                  D.0.50 台班/100m3</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29.混凝土抹灰砂浆贴200×300瓷砖墙面，灰缝宽5mm，假设瓷砖损耗率为8%，则100m瓷砖墙面的瓷砖消耗量为（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A.103.6      B.104.3            C.108         D.108.7</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30.（ ）是编制消耗量定额的基础。</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A.施工定额     B.预算定额    C.概算指标      D.概算定额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31.工程师指令将某分项工程混凝土改为钢筋混凝土，对此做出的索赔具体为（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A.道义索赔    B.总索赔     C.明示索赔     D.单项索赔</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32.建设单位与使用单位在办理交付资产的验收交接手续时，通过基本建设项目交付使用资产总表反映了交付使用资产的全部价值，包括（ ）的价值。</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A.其他资产         B.流动资产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C.无形资产         D.固定资产         E.有形资产</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33.在工程项目设计阶段，形成的计价文件有（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A.投资估算     B.设计概算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C.修正概算     D.施工预算     E.施工图预算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34.在项目概算阶段，某建设工程的静态投资为8000万元，其中基本预备费率为5%，工程的建设前期的为0.5年，建设期2年，计划每年完成投资50%。若平均投资价格上涨率为5%，则该建设期价差预备费为（ ）万元。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A、610.00    B、640.50    C、822.63    D、863.76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35.关于工程建设强制性国家标准的说法，正确的是（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A.强制性标准文本可以收费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B.国务院标准化行政主管部门根据国务院授权作出的强制性国家标准的解释与标准具有同等效力</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C.应当由国务院标准化行政主管部门批准发布</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D.对各有关行业起引领作用的技术要求应当制定强制性国家标准</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36.双代号网络计划中，关于关键节点的说法正确的是（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A.关键工作两端的节点必然是关键节点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B.关键节点的最早时间与最迟时间必然相等</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C.关键节点组成的线路必然是关键线路</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D.两端是关键节点的工作必然是关键工作</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37.建设工程最低保修期限不为2年的是（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A.电气管道                           B.给排水管道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C.设备安装工程                       D.主体结构工程</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38.下列保险中，属于强制性保险的是（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A.工伤保险        B.意外伤害保险</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C.建筑工程一切险  D.勘察设计责任险</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39.有效控制工程造价应体现为以（ ）为重点的建设全过程造价控制。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A.设计阶段        B.投资决策阶段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C.招投标阶段      D.施工阶段</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40.工人工作时间中，完成生产一定产品的施工工艺过程所消耗的时间，称为（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A.基本工作时间       B.有效工作时间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C.实际工作时间       D.定额工作时间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41.关于建设项目场地准备和建设单位临时设施费的计算，下列说法正确的是（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A.改扩建项目一般应计工程费用和拆除清理费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B.凡可回收材料的拆除工程应采用以料抵工方式冲抵拆除清理费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C.新建项目应根据实际工程量计算，不按工程费用的比例计算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D.新建项目应按工程费用比例计算，不根据实际工程量计算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42.建设工程定额中的基础性定额是（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A.概算定额   B.预算定额     C.施工定额      D.概算指标</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43.关于政府投资项目竣工结算的审核，下列说法正确的是（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A.单位工程竣工结算由承包人审核</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B.单项工程竣工结算由承包人审核</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C.建设项目竣工总结算由发包人委托造价工程师审核</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D.竣工结算文件由发包人委托具有相应资质的工程造价咨询机构审核</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44.关于建设项目竣工结清阶段承包人索赔的权力和期限，下列说法中正确的是（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A.承包人接收竣工结算支付证书后再无权提出任何索赔</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B.承包人只能提出工程接收证书颁发前的索赔</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C.承包人提出索赔的期限自缺陷责任期满时终止</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D.承包人提出索赔的期限自接收最终支付证书时终止</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45.建设项目竣工验收后，应由建设单位编制的工程造价是（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A.项目概算       B.竣工结算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C.竣工决算       D.后评价核算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46.可以不进行施工招标的工程项目是（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A.部分使用国家融资的项目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B.使用国际组织援助资金的项目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C.新能源基础设施项目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D.抢险救灾项目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47.为编制招标工程量清单，在拟定常规的施工组织设计时，正确的做法是（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A.根据概算指标和类似工程估算整体工程量时，仅对主要项目加以估算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B.拟定施工总方案时需要考虑施工步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C.在满足工期要求的前提下，施工进度计划应尽量推后以降低风险</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D.在计算人、材、机资源需要量时，不必考虑节假日、气候的影响</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48.每一个工日工作时间按（ ）计算。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A.16小时        B.10小时      C.8小时       D.6小时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49.关于工程定额的应用，下列说法正确的是（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A.施工定额是编制施工图预算的依据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B.行业统一定额只能在本行业范围内使用</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C.企业定额反映了施工企业的生产消耗标准，宜用于工程计价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D.工期定额是工程定额的一种类型，但不属于工程计价定额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50.采用概算定额法编制设计概算的主要工作有：①列出分部分项工程项目名称并计算工程量；②搜集基础资料；③编写概算编制说明；④计算措施项目费；⑤确定各分部分项工程费；⑥汇总单位工程概算造价。下列工作排序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A.②①⑤④⑥③                       B.②③①⑤④⑥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C.③②①④⑤⑥                       D.②①③⑤④⑥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51.《xx省建筑与装饰工程消耗量定额》（20XX）反映了（ ）水平。</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A．社会先进     B．社会落后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C．社会平均    D．个别企业</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52.在某工程上使用的木工工人工资属于工程造价构成中的（ ）组成部分。</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A.人工费         B.材料费     C.机械费       D.管理费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53.下列选项不属于合同分析资料的是（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A.合同总体分析        B.网络图</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C.横道图              D.施工日记</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54.下列施工评标及相关工作事宜中，属于清标工作内容的是（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A.投标文件的澄清</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B.施工组织设计评审</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C.形式评审</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D.不平衡报价分析</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55.关于潜在投标人或者其他利害关系人对招标文件有异议的说法，正确的是（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A.异议应当在投标截止时间7日前提出</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B.对招标人的异议答复不服的，可以向有关行政监督部门投诉</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C.招标人应当自收到异议之日起 7 日内作出答复</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D.招标人作出答复前，可以继续进行招标投标活动</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56.关于项目投资估算的作用，下列说法正确的是（ ）。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A.项目建议书阶段的投资估算，是确定建设投资最高限额的依据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B.可行性研究阶段的投资估算，是项目投资决策的重要依据，不得突破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C.投资估算不能作为制定建设贷款计划的依据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D.投资估算是核算建设项目固定资产需要额的重要依据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57.在计算预算定额人工工日消耗量时，包含在人工幅度差内的用工是（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A.超运距用工        C.机械土方工程的配合用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C.材料加工用工      D.工种交叉作业相互影响的停歇用工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58.建设单位对设计方案进行评审所发生的费用应计入工程建设其他费用中的（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A.专项评价费            B.建设管理费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C.勘察设计费        D.工程监理费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59.工程总承包投标人进行标高金报价决策时，首先要进行的工作是（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A.对风险进行评估</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B.价值增值分析</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C.选择合理的风险费率</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D.进行成本分析</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60.关于设计概算的编制，下列计算式正确的是（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A.单位工程概算=人工费+材料费+施工机具使用费+企业管理费+利润</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B.单项工程综合概算=建筑工程费+安装工程费+设备及工器具购置费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C.单项工程综合概算=建筑工程费+安装工程费+设备及工器具购置费+工程建设其他费用</w:t>
      </w:r>
    </w:p>
    <w:p>
      <w:pPr>
        <w:keepNext w:val="0"/>
        <w:keepLines w:val="0"/>
        <w:pageBreakBefore w:val="0"/>
        <w:kinsoku/>
        <w:wordWrap/>
        <w:overflowPunct/>
        <w:topLinePunct w:val="0"/>
        <w:autoSpaceDE/>
        <w:autoSpaceDN/>
        <w:bidi w:val="0"/>
        <w:spacing w:after="0" w:line="360" w:lineRule="auto"/>
        <w:jc w:val="both"/>
        <w:textAlignment w:val="auto"/>
        <w:rPr>
          <w:rFonts w:hint="eastAsia" w:ascii="仿宋_GB2312" w:hAnsi="仿宋_GB2312" w:eastAsia="仿宋_GB2312" w:cs="仿宋_GB2312"/>
          <w:b/>
          <w:bCs/>
          <w:color w:val="auto"/>
          <w:kern w:val="2"/>
          <w:sz w:val="28"/>
          <w:szCs w:val="28"/>
          <w:lang w:val="en-US" w:eastAsia="zh-CN" w:bidi="ar"/>
        </w:rPr>
      </w:pPr>
      <w:r>
        <w:rPr>
          <w:rFonts w:hint="eastAsia" w:ascii="仿宋_GB2312" w:hAnsi="仿宋_GB2312" w:eastAsia="仿宋_GB2312" w:cs="仿宋_GB2312"/>
          <w:b/>
          <w:bCs/>
          <w:color w:val="auto"/>
          <w:kern w:val="2"/>
          <w:sz w:val="28"/>
          <w:szCs w:val="28"/>
          <w:lang w:val="en-US" w:eastAsia="zh-CN" w:bidi="ar"/>
        </w:rPr>
        <w:t xml:space="preserve">二、 多选题，20道，每道题的备选项中，有2个或2个以上符合题意的，至少有1个错项。每题2分。错选本题不得分；少选，所选的每个选项得0.5分。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1.在《标准施工招标文件》中，合同条款规定的可以合理补偿承包人索赔费用的事件有（ ）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A.发包人要求向承包人提前交付材料和设备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B.发包人要求承包人提前竣工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C.施工过程发现文物、古迹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D.异常恶劣的气候条件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E.法律变化引起的价格调整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2.下列属于单位建筑工程概算的内容的是（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A.一般土建工程概算         B.给排水、采暖工程概算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C.通风、空调工程概算       D.弱电工程概算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E.电气设备及安装工程概算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3.建设工程采用工程量清单招标模式时，关于投标报价的的说法正确的有（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A.投标人应以施工方案、技术措施等作为投标报价计算的基本条件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B.投标报价不得低于工程成本</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C.招标工程量清单的工程数量与施工图纸不完全一致时，应按照招标人提供的清单工程量填报投标价格</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D.投标报价只能由投标人编制，不能委托造价咨询机构编制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E.投标报价应以招标文件中设定的发承包责任划分，作为设定投标报价费用项目和费用计算的基础</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4.关于各类工程计价定额的说法，正确的有（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A、概算定额基价可以是工科单价、综合单价或全费用综合单价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B、概算指标分为建筑工程概算指标和设备及安装工程概算指标</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C、综合概算指标的准确性高于单项概算指标</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D、概算指标是在概算定额的基础上进行编制的投资估算指标必须反映项目建设前期和交付使用期内发生的动态投资</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5.根据《建设工程工程量清单计价规范》，关于措施项目清单编制的说法，正确的有（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A.编制总价措施项目清单时应列出项目编码、项目名称， 并按照现行计量规范的规定计算其工程量，不需 要列出计量单位和项目特征</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B.环境保护、安全文明施工和材料的二次搬运等措施项目清单应根据工程本身的因素列项，不需考虑不同 施工企业的实际情况</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C.编制单价措施项目清单时应列出项目编码、项目名称、项目特征和计量单位， 并按现行计量规范的规定 计算其工程量</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D.不同承包人对于同一工程可能采用的施工措施不完全一致，因此措施项目清单应允许承包人根据拟建工 程的实际情况列项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E.参考拟建工程的常规施工技术方案以确定大型机械设备进出场及安拆、混凝土模板和脚手架等措施项目</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6.建设工程项目招投标应遵循的原则有（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A.合法原则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B.公开原则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C.公平、公正原则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D.诚实信用原则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E.求效择优原则</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7.按承包人的所处的地位划分，建设工程项目承发包模式可分为（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A.总承包   B.分承包   C.联合承包   D.平行承包   E.垂直承包</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8.劳务分包合同规定，劳务报酬可以采用（ ）方式。</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A.固定劳动报酬（含管理费）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B.约定不同工种劳务的计时单价（含管理费），按确认的工时计算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C.约定不同工种劳务的计时单价（含管理费），按图计算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D.约定不同工作成果的计件单价（含管理费），按确认的工程量计算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E.约定不同工作成果的计件单价（含管理费），按图计算</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9.施工单位应编制包含绿色施工管理和技术要求的工程（ ），并经审批通过后实施。</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A.绿色施工组织设计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B.绿色施工方案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C.绿色施工专项方案</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D.绿色建筑评价标准</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E.绿色建筑认证</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10.下列费用中，由招标人填写金额，投标人直接计人投标总价的有（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A.材料设备暂估价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B.专业工程暂估价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C.暂列金额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D.计日工单价</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E.总承包服务费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11.发承包双方应在合同条款中对（ ）事项进行约定。</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A.安全文明施工措施的支付计划、使用要求</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B.承担计价风险的内容、范围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C.竣工结算编制与审核、支付及时间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D.工程质量保证金的数额、预留方式及时间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E.违约责任及发生工程价款争议的解决方法及时间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12.工程项目施工投标的投标阶段工作主要有（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A.招标信息跟踪</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B.接受资格审查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C.分析招标文件，调查投标环境</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D.编制投标文件和办理投标担保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E.送达投标文件并取得投标担保回执</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13.招标准备阶段工作由招标人完成，主要包括（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A.建设工程项目报建</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B.建设单位资质审查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C.招标备案</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D.资格预审文件与招标文件的编制与送审</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E.发布招标公告</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14.预备费包括（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A.建设期利息     B.价差预备费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C.借款利息       D.基本预备费       E.建筑安装工程费</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15.关于工程变更的范围，下列说法正确的有（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A.取消合同中任何一项工作，且被取消的工作由发包人或其他人实施</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B.改变合同中任何一项工作的质量或其他特性</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C.改变合同工程的基线、标高、位置或尺寸</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D.改变合同中任何一项工作的施工时间</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E.为完成工程需要追加的额外工作</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16.关于建设工程施工合同解除的说法，正确的有（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A.施工合同当事人协商一致，可以解除</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B.发生不可抗力时合同的解除</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C.当事人违约时合同无法解除</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D.承包人将其承包的全部工程转包给他人或者肢解后以分包的名义分别转包给他人的，发包人有权解除合同</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E.合同当事人一方的违约致使合同无法履行的，对方可以解除合同</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17.招标实施阶段是整个招标过程的实质性阶段,主要工作内容包括（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A.发布招标公告或资格预审公告</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B.投标人的资格审查</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C.发放招标文件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D.组织勘察现场和投标预备会</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E.投标文件的接收</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18.建设单位与使用单位在办理交付资产的验收交接手续时，通过基本建设项目交付使用资产总表反映了交付使用资产的全部价值，包括（ ）的价值。</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A.其他资产         B.流动资产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C.无形资产         D.固定资产         E.有形资产</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19.招标人在招标文件中一般会明确进行工程现场踏勘的时间和地点。投标人对一般区域调查重点注意（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A.自然条件调查       B.施工条件调查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 xml:space="preserve">C.市场条件调查       D.现场附近的生活设施、治安等情况的调查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20.下列资料中，属于编制招投标控制价和投标报价的共同依据的有（  ）。</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A、国家、地区或行业定额               B、企业定额</w:t>
      </w:r>
    </w:p>
    <w:p>
      <w:pPr>
        <w:jc w:val="left"/>
        <w:rPr>
          <w:rFonts w:hint="eastAsia"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C、造价管理部门发布的工程造价信息     D、投标人拟采用的施工方案</w:t>
      </w:r>
    </w:p>
    <w:p>
      <w:pPr>
        <w:jc w:val="left"/>
        <w:rPr>
          <w:rFonts w:hint="default" w:ascii="仿宋_GB2312" w:hAnsi="仿宋_GB2312" w:eastAsia="仿宋_GB2312" w:cs="仿宋_GB2312"/>
          <w:sz w:val="32"/>
          <w:szCs w:val="40"/>
          <w:highlight w:val="none"/>
          <w:lang w:val="en-US" w:eastAsia="zh-CN"/>
        </w:rPr>
      </w:pPr>
      <w:r>
        <w:rPr>
          <w:rFonts w:hint="eastAsia" w:ascii="仿宋_GB2312" w:hAnsi="仿宋_GB2312" w:eastAsia="仿宋_GB2312" w:cs="仿宋_GB2312"/>
          <w:sz w:val="32"/>
          <w:szCs w:val="40"/>
          <w:highlight w:val="none"/>
          <w:lang w:val="en-US" w:eastAsia="zh-CN"/>
        </w:rPr>
        <w:t>E、施工现场自然条件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YTRiYjFhYzdhODYzODk1YzJhZDJmMTFkZDNiNmYifQ=="/>
  </w:docVars>
  <w:rsids>
    <w:rsidRoot w:val="3E7D442D"/>
    <w:rsid w:val="3E7D442D"/>
    <w:rsid w:val="693F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2023-11-14T02:57:00Z</dcterms:created>
  <dc:creator>Down.</dc:creator>
  <cp:lastModifiedBy>admin</cp:lastModifiedBy>
  <dcterms:modified xsi:type="dcterms:W3CDTF">2023-11-14T07:59:59Z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2F9F3F073AED4C9EBC232841231F02EE_11</vt:lpwstr>
  </property>
</Properties>
</file>