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left="0" w:firstLine="880" w:firstLineChars="200"/>
        <w:jc w:val="center"/>
        <w:rPr>
          <w:rFonts w:hint="eastAsia" w:ascii="仿宋_GB2312" w:hAnsi="仿宋_GB2312" w:eastAsia="仿宋_GB2312" w:cs="仿宋_GB2312"/>
          <w:color w:val="auto"/>
          <w:kern w:val="2"/>
          <w:sz w:val="44"/>
          <w:szCs w:val="44"/>
          <w:lang w:val="en-US" w:eastAsia="zh-CN" w:bidi="ar"/>
        </w:rPr>
      </w:pPr>
      <w:r>
        <w:rPr>
          <w:rFonts w:hint="eastAsia" w:ascii="仿宋_GB2312" w:hAnsi="仿宋_GB2312" w:eastAsia="仿宋_GB2312" w:cs="仿宋_GB2312"/>
          <w:color w:val="auto"/>
          <w:kern w:val="2"/>
          <w:sz w:val="44"/>
          <w:szCs w:val="44"/>
          <w:lang w:val="en-US" w:eastAsia="zh-CN" w:bidi="ar"/>
        </w:rPr>
        <w:t>模块三  全过程造价管理综合应用</w:t>
      </w:r>
    </w:p>
    <w:p>
      <w:pPr>
        <w:spacing w:after="0" w:line="360" w:lineRule="auto"/>
        <w:ind w:left="0" w:firstLine="560" w:firstLineChars="200"/>
        <w:jc w:val="both"/>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 xml:space="preserve">本试卷内容为甘肃省职业院校技能大赛建设工程数字化计量与计价赛项，模块三“全过程造价管理综合应用”试卷内容，本试卷分为单项选择题、多项选择题。单项选择题为60道，多项选择题为20道。比赛形式为个人赛（成绩为团队成员总分/3），本试卷比赛时长为60分钟。在省赛中权重占比为20%。 </w:t>
      </w:r>
    </w:p>
    <w:p>
      <w:pPr>
        <w:spacing w:after="0" w:line="360" w:lineRule="auto"/>
        <w:ind w:left="0" w:firstLine="420" w:firstLineChars="200"/>
      </w:pPr>
      <w:r>
        <w:t xml:space="preserve"> </w:t>
      </w:r>
    </w:p>
    <w:p>
      <w:pPr>
        <w:keepNext w:val="0"/>
        <w:keepLines w:val="0"/>
        <w:pageBreakBefore w:val="0"/>
        <w:kinsoku/>
        <w:wordWrap/>
        <w:overflowPunct/>
        <w:topLinePunct w:val="0"/>
        <w:autoSpaceDE/>
        <w:autoSpaceDN/>
        <w:bidi w:val="0"/>
        <w:spacing w:after="0" w:line="360" w:lineRule="auto"/>
        <w:jc w:val="both"/>
        <w:textAlignment w:val="auto"/>
        <w:rPr>
          <w:b/>
          <w:bCs/>
        </w:rPr>
      </w:pPr>
      <w:r>
        <w:rPr>
          <w:rFonts w:hint="eastAsia" w:ascii="仿宋_GB2312" w:hAnsi="仿宋_GB2312" w:eastAsia="仿宋_GB2312" w:cs="仿宋_GB2312"/>
          <w:b/>
          <w:bCs/>
          <w:color w:val="auto"/>
          <w:kern w:val="2"/>
          <w:sz w:val="28"/>
          <w:szCs w:val="28"/>
          <w:lang w:val="en-US" w:eastAsia="zh-CN" w:bidi="ar"/>
        </w:rPr>
        <w:t>一、 单选题，60题，每道题的备选项中，只有一个最符合题意。每题1分，错选本题不得分。</w:t>
      </w:r>
      <w:r>
        <w:rPr>
          <w:b/>
          <w:bCs/>
        </w:rPr>
        <w:t xml:space="preserve"> </w:t>
      </w:r>
    </w:p>
    <w:p>
      <w:pPr>
        <w:jc w:val="left"/>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1.投标保证金的数额一般为投标价的（ ）左右，但最高不得超过（ ）万元人民币，投标保证金有效期应当超出投标有效期的（ ）。</w:t>
      </w:r>
    </w:p>
    <w:p>
      <w:pPr>
        <w:jc w:val="left"/>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A.2％  80  30</w:t>
      </w:r>
    </w:p>
    <w:p>
      <w:pPr>
        <w:jc w:val="left"/>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B.3％  80  30</w:t>
      </w:r>
    </w:p>
    <w:p>
      <w:pPr>
        <w:jc w:val="left"/>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C.2％  90  20</w:t>
      </w:r>
    </w:p>
    <w:p>
      <w:pPr>
        <w:jc w:val="left"/>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D.2％  80  20</w:t>
      </w:r>
    </w:p>
    <w:p>
      <w:pPr>
        <w:spacing w:after="0" w:line="360" w:lineRule="auto"/>
        <w:ind w:left="0" w:leftChars="0" w:firstLine="0" w:firstLineChars="0"/>
        <w:jc w:val="both"/>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sz w:val="28"/>
          <w:szCs w:val="36"/>
          <w:lang w:val="en-US" w:eastAsia="zh-CN"/>
        </w:rPr>
        <w:t>2.</w:t>
      </w:r>
      <w:r>
        <w:rPr>
          <w:rFonts w:hint="eastAsia" w:ascii="仿宋_GB2312" w:hAnsi="仿宋_GB2312" w:eastAsia="仿宋_GB2312" w:cs="仿宋_GB2312"/>
          <w:color w:val="auto"/>
          <w:kern w:val="2"/>
          <w:sz w:val="30"/>
          <w:szCs w:val="30"/>
          <w:lang w:val="en-US" w:eastAsia="zh-CN" w:bidi="ar"/>
        </w:rPr>
        <w:t>关于施工预算和施工图预算的说法，正确的是（  ）。</w:t>
      </w:r>
    </w:p>
    <w:p>
      <w:pPr>
        <w:spacing w:after="0" w:line="360" w:lineRule="auto"/>
        <w:jc w:val="both"/>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A.两算对比的方法有实物对比法和金额对比法</w:t>
      </w:r>
    </w:p>
    <w:p>
      <w:pPr>
        <w:spacing w:after="0" w:line="360" w:lineRule="auto"/>
        <w:jc w:val="both"/>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B.一般情况下施工预算的材料消耗量比施工图预算的材料消耗量高</w:t>
      </w:r>
    </w:p>
    <w:p>
      <w:pPr>
        <w:spacing w:after="0" w:line="360" w:lineRule="auto"/>
        <w:jc w:val="both"/>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C.施工预算和施工图预算既适用于发包人也适用于承包人</w:t>
      </w:r>
    </w:p>
    <w:p>
      <w:pPr>
        <w:spacing w:after="0" w:line="360" w:lineRule="auto"/>
        <w:jc w:val="both"/>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D.施工预算的编制以预算定额为依据，施工图预算的编制以施工定额为依据</w:t>
      </w:r>
    </w:p>
    <w:p>
      <w:pPr>
        <w:pStyle w:val="2"/>
        <w:keepNext w:val="0"/>
        <w:keepLines w:val="0"/>
        <w:pageBreakBefore w:val="0"/>
        <w:widowControl/>
        <w:kinsoku/>
        <w:wordWrap/>
        <w:overflowPunct/>
        <w:topLinePunct w:val="0"/>
        <w:autoSpaceDE/>
        <w:autoSpaceDN/>
        <w:bidi w:val="0"/>
        <w:adjustRightInd/>
        <w:snapToGrid/>
        <w:spacing w:before="68" w:line="360" w:lineRule="auto"/>
        <w:ind w:left="6" w:right="86"/>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3.采用定额单价法编制施工预算时， 若分项工程采用的主要材料品种与定额单价中规定的材料品种不一 致，正确的做法是（  ）。</w:t>
      </w:r>
    </w:p>
    <w:p>
      <w:pPr>
        <w:pStyle w:val="2"/>
        <w:keepNext w:val="0"/>
        <w:keepLines w:val="0"/>
        <w:pageBreakBefore w:val="0"/>
        <w:widowControl/>
        <w:kinsoku/>
        <w:wordWrap/>
        <w:overflowPunct/>
        <w:topLinePunct w:val="0"/>
        <w:autoSpaceDE/>
        <w:autoSpaceDN/>
        <w:bidi w:val="0"/>
        <w:adjustRightInd/>
        <w:snapToGrid/>
        <w:spacing w:before="60" w:line="360" w:lineRule="auto"/>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 xml:space="preserve">A、直接套用定额单价并通过系数调整     </w:t>
      </w:r>
    </w:p>
    <w:p>
      <w:pPr>
        <w:pStyle w:val="2"/>
        <w:keepNext w:val="0"/>
        <w:keepLines w:val="0"/>
        <w:pageBreakBefore w:val="0"/>
        <w:widowControl/>
        <w:kinsoku/>
        <w:wordWrap/>
        <w:overflowPunct/>
        <w:topLinePunct w:val="0"/>
        <w:autoSpaceDE/>
        <w:autoSpaceDN/>
        <w:bidi w:val="0"/>
        <w:adjustRightInd/>
        <w:snapToGrid/>
        <w:spacing w:before="60" w:line="360" w:lineRule="auto"/>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B、编制补充定额</w:t>
      </w:r>
    </w:p>
    <w:p>
      <w:pPr>
        <w:pStyle w:val="2"/>
        <w:keepNext w:val="0"/>
        <w:keepLines w:val="0"/>
        <w:pageBreakBefore w:val="0"/>
        <w:widowControl/>
        <w:kinsoku/>
        <w:wordWrap/>
        <w:overflowPunct/>
        <w:topLinePunct w:val="0"/>
        <w:autoSpaceDE/>
        <w:autoSpaceDN/>
        <w:bidi w:val="0"/>
        <w:adjustRightInd/>
        <w:snapToGrid/>
        <w:spacing w:before="62" w:line="360" w:lineRule="auto"/>
        <w:ind w:left="5"/>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 xml:space="preserve">C、调整材料数量，不换价               </w:t>
      </w:r>
    </w:p>
    <w:p>
      <w:pPr>
        <w:pStyle w:val="2"/>
        <w:keepNext w:val="0"/>
        <w:keepLines w:val="0"/>
        <w:pageBreakBefore w:val="0"/>
        <w:widowControl/>
        <w:kinsoku/>
        <w:wordWrap/>
        <w:overflowPunct/>
        <w:topLinePunct w:val="0"/>
        <w:autoSpaceDE/>
        <w:autoSpaceDN/>
        <w:bidi w:val="0"/>
        <w:adjustRightInd/>
        <w:snapToGrid/>
        <w:spacing w:before="62" w:line="360" w:lineRule="auto"/>
        <w:ind w:left="5"/>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D、按实际使用材料价格换算定额单价</w:t>
      </w:r>
    </w:p>
    <w:p>
      <w:pPr>
        <w:pStyle w:val="2"/>
        <w:keepNext w:val="0"/>
        <w:keepLines w:val="0"/>
        <w:pageBreakBefore w:val="0"/>
        <w:widowControl/>
        <w:kinsoku/>
        <w:wordWrap/>
        <w:overflowPunct/>
        <w:topLinePunct w:val="0"/>
        <w:autoSpaceDE/>
        <w:autoSpaceDN/>
        <w:bidi w:val="0"/>
        <w:adjustRightInd/>
        <w:snapToGrid/>
        <w:spacing w:before="62" w:line="360" w:lineRule="auto"/>
        <w:ind w:left="5"/>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4.甲公司与乙公司组成联合体投标，则下面说法正确的是（ ）。</w:t>
      </w:r>
    </w:p>
    <w:p>
      <w:pPr>
        <w:pStyle w:val="2"/>
        <w:keepNext w:val="0"/>
        <w:keepLines w:val="0"/>
        <w:pageBreakBefore w:val="0"/>
        <w:widowControl/>
        <w:kinsoku/>
        <w:wordWrap/>
        <w:overflowPunct/>
        <w:topLinePunct w:val="0"/>
        <w:autoSpaceDE/>
        <w:autoSpaceDN/>
        <w:bidi w:val="0"/>
        <w:adjustRightInd/>
        <w:snapToGrid/>
        <w:spacing w:before="62" w:line="360" w:lineRule="auto"/>
        <w:ind w:left="5"/>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 xml:space="preserve">A.共同投标协议与投标文件一并提交 </w:t>
      </w:r>
    </w:p>
    <w:p>
      <w:pPr>
        <w:pStyle w:val="2"/>
        <w:keepNext w:val="0"/>
        <w:keepLines w:val="0"/>
        <w:pageBreakBefore w:val="0"/>
        <w:widowControl/>
        <w:kinsoku/>
        <w:wordWrap/>
        <w:overflowPunct/>
        <w:topLinePunct w:val="0"/>
        <w:autoSpaceDE/>
        <w:autoSpaceDN/>
        <w:bidi w:val="0"/>
        <w:adjustRightInd/>
        <w:snapToGrid/>
        <w:spacing w:before="62" w:line="360" w:lineRule="auto"/>
        <w:ind w:left="5"/>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 xml:space="preserve">B.甲公司与乙公司就相关项目各自承担责任 </w:t>
      </w:r>
    </w:p>
    <w:p>
      <w:pPr>
        <w:pStyle w:val="2"/>
        <w:keepNext w:val="0"/>
        <w:keepLines w:val="0"/>
        <w:pageBreakBefore w:val="0"/>
        <w:widowControl/>
        <w:kinsoku/>
        <w:wordWrap/>
        <w:overflowPunct/>
        <w:topLinePunct w:val="0"/>
        <w:autoSpaceDE/>
        <w:autoSpaceDN/>
        <w:bidi w:val="0"/>
        <w:adjustRightInd/>
        <w:snapToGrid/>
        <w:spacing w:before="62" w:line="360" w:lineRule="auto"/>
        <w:ind w:left="5"/>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 xml:space="preserve">C.甲公司与乙公司必须符合同一资质等级 </w:t>
      </w:r>
    </w:p>
    <w:p>
      <w:pPr>
        <w:pStyle w:val="2"/>
        <w:keepNext w:val="0"/>
        <w:keepLines w:val="0"/>
        <w:pageBreakBefore w:val="0"/>
        <w:widowControl/>
        <w:kinsoku/>
        <w:wordWrap/>
        <w:overflowPunct/>
        <w:topLinePunct w:val="0"/>
        <w:autoSpaceDE/>
        <w:autoSpaceDN/>
        <w:bidi w:val="0"/>
        <w:adjustRightInd/>
        <w:snapToGrid/>
        <w:spacing w:before="62" w:line="360" w:lineRule="auto"/>
        <w:ind w:left="5"/>
        <w:textAlignment w:val="auto"/>
        <w:rPr>
          <w:rFonts w:hint="eastAsia" w:ascii="仿宋_GB2312" w:hAnsi="仿宋_GB2312" w:eastAsia="仿宋_GB2312" w:cs="仿宋_GB2312"/>
          <w:color w:val="auto"/>
          <w:kern w:val="2"/>
          <w:sz w:val="30"/>
          <w:szCs w:val="30"/>
          <w:highlight w:val="green"/>
          <w:lang w:val="en-US" w:eastAsia="zh-CN" w:bidi="ar"/>
        </w:rPr>
      </w:pPr>
      <w:r>
        <w:rPr>
          <w:rFonts w:hint="eastAsia" w:ascii="仿宋_GB2312" w:hAnsi="仿宋_GB2312" w:eastAsia="仿宋_GB2312" w:cs="仿宋_GB2312"/>
          <w:color w:val="auto"/>
          <w:kern w:val="2"/>
          <w:sz w:val="30"/>
          <w:szCs w:val="30"/>
          <w:lang w:val="en-US" w:eastAsia="zh-CN" w:bidi="ar"/>
        </w:rPr>
        <w:t xml:space="preserve">D.联合体是以两个投标人的身份投标 </w:t>
      </w:r>
    </w:p>
    <w:p>
      <w:pPr>
        <w:spacing w:after="0" w:line="360" w:lineRule="auto"/>
        <w:ind w:left="0" w:leftChars="0" w:firstLine="0" w:firstLineChars="0"/>
        <w:jc w:val="both"/>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5.已知招标工程量清单中土方工程量为 2000 ㎥，某投标人根据施工方案确定的土方工程量为 3800 ㎥根 据测算，完成该土方工程的人工费为 50000 元， 机械费为 40000 元，材料费为 10000 元，管理费按照人、 料、机费用之和的 10%计取， 利润按人、料、机费用以及管理费之和的 6%计取。其他因素均不考虑。则该 土方工程的投标综合单价为（  ）元/㎥。</w:t>
      </w:r>
    </w:p>
    <w:p>
      <w:pPr>
        <w:spacing w:after="0" w:line="360" w:lineRule="auto"/>
        <w:jc w:val="both"/>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A、58.30        B、30.53        C、30.68        D、58.00</w:t>
      </w:r>
    </w:p>
    <w:p>
      <w:pPr>
        <w:spacing w:after="0" w:line="360" w:lineRule="auto"/>
        <w:jc w:val="both"/>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6.某建设项目投资估算中的建安工程费、设备及工器具购置费、工程建设其他费用分别为 30000 万元、20000 万元、 10000 万元。若基本预备费费率为 5%，则该项目的基本预备费为（  ）万元。</w:t>
      </w:r>
    </w:p>
    <w:p>
      <w:pPr>
        <w:spacing w:after="0" w:line="360" w:lineRule="auto"/>
        <w:jc w:val="both"/>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 xml:space="preserve">A、1500 万元         B、2000 万元  </w:t>
      </w:r>
    </w:p>
    <w:p>
      <w:pPr>
        <w:spacing w:after="0" w:line="360" w:lineRule="auto"/>
        <w:jc w:val="both"/>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C、2500 万元         D、3000 万元</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28"/>
          <w:szCs w:val="28"/>
          <w:lang w:val="en-US" w:eastAsia="zh-CN" w:bidi="ar"/>
        </w:rPr>
        <w:t>7.</w:t>
      </w:r>
      <w:r>
        <w:rPr>
          <w:rFonts w:hint="eastAsia" w:ascii="仿宋_GB2312" w:hAnsi="仿宋_GB2312" w:eastAsia="仿宋_GB2312" w:cs="仿宋_GB2312"/>
          <w:color w:val="auto"/>
          <w:kern w:val="2"/>
          <w:sz w:val="30"/>
          <w:szCs w:val="30"/>
          <w:lang w:val="en-US" w:eastAsia="zh-CN" w:bidi="ar"/>
        </w:rPr>
        <w:t>根据《建设工程质量管理条例》，建筑单位应当自建设工程竣工验收合格之日起（  ）日内进行工程竣工验收备案。</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A、7          B、10          C、15          D、30</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8.某笔借款年利率 6%，每季度复利计息一次，则该笔借款的年实际利率为（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A、6.03%        B、6.05%       C、6.14%      D、6.17%</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9.利用概算定额编制的单位工程概算的工作有：①计算单位工程的人、料、机费用 ;②列出分项工程并计 算工程量； ③计算企业管理费、利润、规费和税金； ④确定分部分项工程的概算定额单价； ⑤计算单位工 程概算造价。编制步骤正确的是（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 xml:space="preserve">A、②④①③⑤          B、④②①⑤③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 xml:space="preserve"> C、①②③④⑤         D、④①②③⑤</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10.某工程承包人于 2019 年 5 月 15 日提交了竣工验收申请报告， 6 月 10 日工程竣工验收合格， 6 月 15 日  发包人签发了工程接收证书， 根据《建设工程施工合同（示范文本）》通用条款， 该工程的缺陷责任期、保 修期起算日分别为（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A.6 月 10 日、 6 月 15 日    B.5 月 15 日、 6 月 10 日</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C.5 月 15 日、 6 月 15 日    D.6 月 15 日、 6 月 10 日</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11.关于分部分项工程项目清单的编制要求，下列说法正确的是（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A、所有清单项目的工程量均应以完成后的净值计算</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B、以“个”“项”等为计算单位时，应取整数， 小数部分四舍五入</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C、有两个或两个以上计量单位时，应按不同计量单位分别计量</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D、当出现规范附录中未包含的清单项目时，编制人应作补充， 并报省级或行业工程造价管理机构备案</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 xml:space="preserve">12.下列内容中，属于三级预算的工程预算文件，但不属于二级预算的是（ ）。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 xml:space="preserve">A、总预算            B、综合预算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C、单位工程预算表    D、附件</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13.每一个台班工作时间按（ ）计算。</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A.24小时    B.12小时     C.10小时     D.8小时</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14.成本分析、成本考核、成本核算是建设工程项目施工成本管理的重要环节，仅就此三项工作而言，其正确的工作流程是（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A.成本核算→成本分析→成本考核</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B.成本分析→成本考核→成本核算</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lang w:val="en-US" w:eastAsia="zh-CN" w:bidi="ar"/>
        </w:rPr>
      </w:pPr>
      <w:r>
        <w:rPr>
          <w:rFonts w:hint="eastAsia" w:ascii="仿宋_GB2312" w:hAnsi="仿宋_GB2312" w:eastAsia="仿宋_GB2312" w:cs="仿宋_GB2312"/>
          <w:color w:val="auto"/>
          <w:kern w:val="2"/>
          <w:sz w:val="30"/>
          <w:szCs w:val="30"/>
          <w:lang w:val="en-US" w:eastAsia="zh-CN" w:bidi="ar"/>
        </w:rPr>
        <w:t>C.成本考核→成本核算→成本分析</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green"/>
          <w:lang w:val="en-US" w:eastAsia="zh-CN" w:bidi="ar"/>
        </w:rPr>
      </w:pPr>
      <w:r>
        <w:rPr>
          <w:rFonts w:hint="eastAsia" w:ascii="仿宋_GB2312" w:hAnsi="仿宋_GB2312" w:eastAsia="仿宋_GB2312" w:cs="仿宋_GB2312"/>
          <w:color w:val="auto"/>
          <w:kern w:val="2"/>
          <w:sz w:val="30"/>
          <w:szCs w:val="30"/>
          <w:lang w:val="en-US" w:eastAsia="zh-CN" w:bidi="ar"/>
        </w:rPr>
        <w:t>D.成本分析→成本核算→成本考核</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15.某工程1000万元，同一关键线路上的A、B工作产生延误，A、B工作分别延误2、3天，其中A工作300万元，B工作200万元，问可素赔工期（ ）天。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A、2    B、3    C、5    D、7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16.关于投标的说法，正确的是（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A.投标人参加依法必须进行招标的项目的投标，应当受地区或者部门的限制</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B.存在控股、管理关系的不同单位，可以参加未划分标段的同一招标项目的投标</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C.单位负责人为同一人的不同单位参与同一标段投标，相关投标均无效</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D.投标人发生合并、分立、破产等重大变化的，其投标无效</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17.关于中标和订立合同的说法，正确的是（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A.招标人不得授权评标委员会直接确定中标人</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B.招标人和中标人应当自中标通知书发出之日起20日内，按照招标文件和中标人的投标文件订立书面合同</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C.招标人和中标人可以再行订立背离合同实质性内容的其他协议</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D.招标人根据评标委员会提出的书面评标报告和推荐的中标候选人确定中标人</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18.某地2023年拟建一座年产20万吨的化工厂。该地区2021年建成的年产15万吨相同产品的类似项目实际建设投资为6000万元。2021年和2023年该地区的工程造价指数(定基指数)分别为1.12、1.15，生产能力指数为0.7，预计该项目建设期的两年内工程造价仍将年均上涨5%。则该项目的静态投资为（ ）万元。</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A.7147.08    B.7535.09     C.7911.84      D.8307.43</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19.采用概算定额法编制设计概算的主要工作有：①列出分部分项工程项目名称并计算工程量；②搜集基础资料；③编写概算编制说明；④计算措施项目费；⑤确定各分部分项工程费；⑥汇总单位工程概算造价。下列工作排序正确的是（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A.②①⑤④⑥③                       B.②③①⑤④⑥</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C.③②①④⑤⑥                       D.②①③⑤④⑥</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20.根据《建设工程工程量清单计价规范》(GB50500—2013)，中标人投标报价浮动率的计算公式是（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A.(1–中标价/招标控制价)×100%</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B.(1–中标价/施工图预算)×100%</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C.(1–不含安全文明施工费的中标价/不含安全文明施工费的招标控制价)×100%</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D.(1–不含安全文明施工费的中标价/不含安全文明施工费的施工图预算)×100%</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21.27.某建设项目投资估算中，建设管理费2000万元，可行性研究费100万元，勘察设计费5000万元，引进技术和引进设备其他费400万元。市政公用设施建设及绿化费2000万元，专利权使用费200万元。非专利技术使用费100万元，生产准备及开办费500万元，则按形成资产法编制建设投资估算表，计人固定资产其他费用、无形资产费用和其他资产费用的金额分别为（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A.10000万元、300万元、0万元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B.9600万元、700万元、0万元</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C.9500万元、300万元、500万元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D.9100万元、700万元，500万元</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22.根据国外建筑安装工程费用的构成，施工工人的招雇解雇费用一般计入（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A.直接工程费        B.现场管理费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C.公司办理费        D.开办费</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23.根据我国现行建设项目总投资及工程造价的构成，联合试运转费应包括（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A.施工单位参加联合试运转人员的工资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B.设备安装中的试车费用</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C.试运转中暴露的设备缺陷的处理费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D.生产人员的提前进厂费</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24.某挖掘机械挖二类土方的台班产量定额为100m3/台班，当机械幅度差系数为20%时，该机械挖二类土方1000m3预算定额的台班耗用量应为（ ）台班。</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A.8.0      B.10.0          C.12.0         D.12.5</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25.某招标工程项目执行《建设工程工程量清单计价规范》(GB50500-2013)，招标工程量清单中某分项工程的工程量为1500m3，施工中由于设计变更调增1900m3，该分项工程最高投标限价综合单价为40元/m3，投标报价为47元/m3，则该分项工程的结算价为（ ）元。</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A.87400       B.88900       C.89125          D.89300</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26.编制竣工结算文件时，应按国家、省级或行业建设主管部门的规定计价的是（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A．劳动保险费          B.总承包服务费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C.安全文明施工费       D.现场签证费</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27.某项目建设期为2年，第一年贷款4000万元，第二年贷款2000万元，贷款年利率为10%，贷款在年内均衡发放，建设期内只计息不付息。该项目第二年的建设期利息为（ ）万元。</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A.200         B.500         C.520         D.600</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28.根据《建设工程工程量清单计价规范》(GB50500—2013)，关于招标工程量清单中暂列金额的编制，下列说法正确的是（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A.应详列其项目名称、计量单位，不列明金额</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B.应列明暂定金额总额，不详列项目名称等</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C.不同专业预留的暂列金额应分别列项</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D.没有特殊要求一般不列暂列金额</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29.根据《建设工程工程量清单计价规范》（GB50500-2013）规定，清单工程量的精确度说法错误的是（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A.以“t”为单位保留小数后三位数字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B.以“m3”为单位保留小数后二位数字</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C.以“m2”为单位保留小数后二位数字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D.以“m”为单位保留小数后一位数字</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30.在计算预算定额人工工日消耗量时，包含在人工幅度差内的用工是（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A.超运距用工        C.机械土方工程的配合用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C.材料加工用工      D.工种交叉作业相互影响的停歇用工</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31.工作日写实法测定数据显示完成10m3某现浇混凝土工程需基本时间8小时，辅助工作时间占工序作业时间的8%，准备与结束工作时间、不可避免的中断时间、休息时间、损失时间分别占工作日的5%、2%、18%、6%,则该项混凝土工程的时间定额是（ ）工日/10m³。</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A.1.44       B.1.45        C.1.56          D.1.64</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32.要求发包人“补偿费用损失、调整合同价格”属于（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A.工期索赔     B.费用索赔</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C.变更索赔     D.其他索赔</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33.关于评标过程中，对投标报价算术错误的修正，下列做法中正确的是（ ）。</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A.评标委员会应对报价中的算术性错误进行修正</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B.修正的价格，经评标委员会书面确认后具有约束力</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C.投标人应接受修正价格，否则将没收其投标保证金</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D.投标文件中的大写与小写金额不一致的，以小写金额为准</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34.某招标工程采用综合评估法评标，报价越低的报价得分越高，评分因素、权重及各投标人得分情况见下表，则推荐的第一中标候选人应为（ ）。</w:t>
      </w:r>
    </w:p>
    <w:tbl>
      <w:tblPr>
        <w:tblStyle w:val="6"/>
        <w:tblW w:w="8270" w:type="dxa"/>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2003"/>
        <w:gridCol w:w="1077"/>
        <w:gridCol w:w="1728"/>
        <w:gridCol w:w="1727"/>
        <w:gridCol w:w="1735"/>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262" w:hRule="atLeast"/>
          <w:jc w:val="center"/>
        </w:trPr>
        <w:tc>
          <w:tcPr>
            <w:tcW w:w="2003" w:type="dxa"/>
            <w:vMerge w:val="restart"/>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评标因素</w:t>
            </w:r>
          </w:p>
        </w:tc>
        <w:tc>
          <w:tcPr>
            <w:tcW w:w="1077" w:type="dxa"/>
            <w:vMerge w:val="restart"/>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权重（%）</w:t>
            </w:r>
          </w:p>
        </w:tc>
        <w:tc>
          <w:tcPr>
            <w:tcW w:w="5187" w:type="dxa"/>
            <w:gridSpan w:val="3"/>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投标人得分</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003" w:type="dxa"/>
            <w:vMerge w:val="continue"/>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Calibri" w:hAnsi="Calibri" w:eastAsia="宋体" w:cs="Times New Roman"/>
                <w:color w:val="auto"/>
                <w:kern w:val="0"/>
                <w:sz w:val="20"/>
                <w:szCs w:val="20"/>
              </w:rPr>
            </w:pPr>
          </w:p>
        </w:tc>
        <w:tc>
          <w:tcPr>
            <w:tcW w:w="1077" w:type="dxa"/>
            <w:vMerge w:val="continue"/>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Calibri" w:hAnsi="Calibri" w:eastAsia="宋体" w:cs="Times New Roman"/>
                <w:color w:val="auto"/>
                <w:kern w:val="0"/>
                <w:sz w:val="20"/>
                <w:szCs w:val="20"/>
              </w:rPr>
            </w:pPr>
          </w:p>
        </w:tc>
        <w:tc>
          <w:tcPr>
            <w:tcW w:w="1727"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甲</w:t>
            </w:r>
          </w:p>
        </w:tc>
        <w:tc>
          <w:tcPr>
            <w:tcW w:w="1726"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乙</w:t>
            </w:r>
          </w:p>
        </w:tc>
        <w:tc>
          <w:tcPr>
            <w:tcW w:w="1734"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丙</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003"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施工组织设计</w:t>
            </w:r>
          </w:p>
        </w:tc>
        <w:tc>
          <w:tcPr>
            <w:tcW w:w="1077"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30</w:t>
            </w:r>
          </w:p>
        </w:tc>
        <w:tc>
          <w:tcPr>
            <w:tcW w:w="1727"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90</w:t>
            </w:r>
          </w:p>
        </w:tc>
        <w:tc>
          <w:tcPr>
            <w:tcW w:w="1726"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100</w:t>
            </w:r>
          </w:p>
        </w:tc>
        <w:tc>
          <w:tcPr>
            <w:tcW w:w="1734"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80</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6" w:hRule="atLeast"/>
          <w:jc w:val="center"/>
        </w:trPr>
        <w:tc>
          <w:tcPr>
            <w:tcW w:w="2003"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项目管理机构</w:t>
            </w:r>
          </w:p>
        </w:tc>
        <w:tc>
          <w:tcPr>
            <w:tcW w:w="1077"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20</w:t>
            </w:r>
          </w:p>
        </w:tc>
        <w:tc>
          <w:tcPr>
            <w:tcW w:w="1727"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80</w:t>
            </w:r>
          </w:p>
        </w:tc>
        <w:tc>
          <w:tcPr>
            <w:tcW w:w="1726"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90</w:t>
            </w:r>
          </w:p>
        </w:tc>
        <w:tc>
          <w:tcPr>
            <w:tcW w:w="1734"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100</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5" w:hRule="atLeast"/>
          <w:jc w:val="center"/>
        </w:trPr>
        <w:tc>
          <w:tcPr>
            <w:tcW w:w="2003"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投标报价</w:t>
            </w:r>
          </w:p>
        </w:tc>
        <w:tc>
          <w:tcPr>
            <w:tcW w:w="1077"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50</w:t>
            </w:r>
          </w:p>
        </w:tc>
        <w:tc>
          <w:tcPr>
            <w:tcW w:w="1727"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100</w:t>
            </w:r>
          </w:p>
        </w:tc>
        <w:tc>
          <w:tcPr>
            <w:tcW w:w="1726"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90</w:t>
            </w:r>
          </w:p>
        </w:tc>
        <w:tc>
          <w:tcPr>
            <w:tcW w:w="1734" w:type="dxa"/>
            <w:tcBorders>
              <w:top w:val="single" w:color="231F20" w:sz="2" w:space="0"/>
              <w:left w:val="single" w:color="231F20" w:sz="4" w:space="0"/>
              <w:bottom w:val="single" w:color="231F20" w:sz="2" w:space="0"/>
              <w:right w:val="single" w:color="231F20" w:sz="4" w:space="0"/>
            </w:tcBorders>
            <w:vAlign w:val="center"/>
          </w:tcPr>
          <w:p>
            <w:pPr>
              <w:widowControl w:val="0"/>
              <w:adjustRightInd w:val="0"/>
              <w:snapToGrid w:val="0"/>
              <w:spacing w:after="0" w:line="240" w:lineRule="auto"/>
              <w:ind w:left="0" w:firstLine="0"/>
              <w:jc w:val="center"/>
              <w:rPr>
                <w:rFonts w:ascii="仿宋_GB2312" w:hAnsi="仿宋_GB2312" w:eastAsia="仿宋_GB2312" w:cs="仿宋_GB2312"/>
                <w:color w:val="auto"/>
                <w:kern w:val="0"/>
                <w:szCs w:val="24"/>
              </w:rPr>
            </w:pPr>
            <w:r>
              <w:rPr>
                <w:rFonts w:hint="eastAsia" w:ascii="仿宋_GB2312" w:hAnsi="仿宋_GB2312" w:eastAsia="仿宋_GB2312" w:cs="仿宋_GB2312"/>
                <w:color w:val="auto"/>
                <w:kern w:val="0"/>
                <w:szCs w:val="24"/>
                <w:lang w:bidi="ar"/>
              </w:rPr>
              <w:t>80</w:t>
            </w:r>
          </w:p>
        </w:tc>
      </w:tr>
    </w:tbl>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lang w:val="en-US" w:eastAsia="zh-CN" w:bidi="ar"/>
        </w:rPr>
        <w:t>A.</w:t>
      </w:r>
      <w:r>
        <w:rPr>
          <w:rFonts w:hint="eastAsia" w:ascii="仿宋_GB2312" w:hAnsi="仿宋_GB2312" w:eastAsia="仿宋_GB2312" w:cs="仿宋_GB2312"/>
          <w:color w:val="auto"/>
          <w:kern w:val="2"/>
          <w:sz w:val="30"/>
          <w:szCs w:val="30"/>
          <w:highlight w:val="none"/>
          <w:lang w:val="en-US" w:eastAsia="zh-CN" w:bidi="ar"/>
        </w:rPr>
        <w:t>甲   B.乙     C.丙     D.甲或乙</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35.根据现行建筑安装工程费用项目组成规定，下列费用项目属于按造价形成划分的是（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lang w:val="en-US" w:eastAsia="zh-CN" w:bidi="ar"/>
        </w:rPr>
        <w:t>B.</w:t>
      </w:r>
      <w:r>
        <w:rPr>
          <w:rFonts w:hint="eastAsia" w:ascii="仿宋_GB2312" w:hAnsi="仿宋_GB2312" w:eastAsia="仿宋_GB2312" w:cs="仿宋_GB2312"/>
          <w:color w:val="auto"/>
          <w:kern w:val="2"/>
          <w:sz w:val="30"/>
          <w:szCs w:val="30"/>
          <w:highlight w:val="none"/>
          <w:lang w:val="en-US" w:eastAsia="zh-CN" w:bidi="ar"/>
        </w:rPr>
        <w:t>A.人工费       B.企业管理费     C.利润        D.税金</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36.根据国外建筑安装工程费用的构成，施工工人的招雇解雇费用一般计入（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A.直接工程费        B.现场管理费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C.公司办理费        D.开办费</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37.根据我国现行建设项目总投资及工程造价的构成，联合试运转费应包括（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A.施工单位参加联合试运转人员的工资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B.设备安装中的试车费用</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C.试运转中暴露的设备缺陷的处理费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D.生产人员的提前进厂费</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38.工程造价在量上和（ ）相等。</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A.固定资产投资和流动资产投资之和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B.固定资产与流动资金之和</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C.固定资产投资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D.流动资产投资</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39.按其用途和用量的大小，钢管脚手架在预算定额中属于（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A.主要材料       B.消耗性材料</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C.辅助材料       D.周转性材料</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40.关于中标和订立合同的说法，正确的是（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A.招标人不得授权评标委员会直接确定中标人</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B.招标人和中标人应当自中标通知书发出之日起20日内，按照招标文件和中标人的投标文件订立书面合同</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C.招标人和中标人可以再行订立背离合同实质性内容的其他协议</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D.招标人根据评标委员会提出的书面评标报告和推荐的中标候选人确定中标人</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41.某地2023年拟建一座年产20万吨的化工厂。该地区2021年建成的年产15万吨相同产品的类似项目实际建设投资为6000万元。2021年和2023年该地区的工程造价指数(定基指数)分别为1.12、1.15，生产能力指数为0.7，预计该项目建设期的两年内工程造价仍将年均上涨5%。则该项目的静态投资为（ ）万元。</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A.7147.08    B.7535.09     C.7911.84      D.8307.43</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42.当初步设计深度不够，只有设备出厂价而无详细规格、重量时，编制设备安装工程费概算可选用的方法是（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A.设备价值百分比法                   B.设备系数法</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C.综合吨位指标法                     D.预算单价法</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43.概算造价是指在初步设计阶段，根据设计意图，通过编制工程概预算文件预先测算和确定的工程造价，主要受到（ ）的控制。</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A.投资估算    B.合同价     C.修正概算造价    D.实际造价</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44.关于设计概算的说法，正确的是（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A.设计概算是工程造价在设计阶段的表现形式，具备价格属性</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B.三级概算编制形式适用于单一的单项建设项目</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C.概算中工程费用应按预测的建设期价格水平编制</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D.概算应考虑贷款的时间价值对投资的影响</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45.根据《建设工程工程量清单计价规范》(GB50500—2013)下列费用项目中需纳入分部分项工程项目综合单价中的是（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A.工程设备估价                       B.专业工程暂估价</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C.暂列金额                           D.计日工费</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46.根据《建设工程工程量清单计价规范》(GB50500—2013)，关于计日工，下列说法中正确的是（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A.计日工表包括各种人工，不应包括材料、施工机械</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B.计日工按综合单价计价，投标时应计入投标总价</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C.计日工表中的项目名称由招标人填写，工程数量由投标人填写</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D.计日工单价由投标人自主确定，并按计日工表中所列数量结算</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47.已知砌筑lm3砖墙中砖净量和损耗量分别为529块、6块，百块砖体积按0.146m3计算，砂浆损耗率为10%。则砌筑lm3砖墙的砂浆用量为（ ）m3。</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A.0.250       B.0.253       C.0.241        D.0.243</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48.关于材料单价的计算，下列计算公式中正确的是（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A.(供应价格+运杂费)×(1+运输损耗率)×(1+采购及保管费率)</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B.(供应价格+运杂费)/[(1+运输损耗率)×(1–采购及保管费率)]</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C.[(供应价格+运杂费)×(1+采购及保管费率)]/(1–采购及保管费率)</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D.[(供应价格+运杂费)×(1+运输损耗率)]/(1–采购及保管费率)</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49.每一个工日工作时间按（ ）计算。</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A.16小时        B.10小时      C.8小时       D.6小时</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50.在定额编制中，测定工时所采用的方法中，测时法用于测定（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A.循环组成部分的工作时间            B.准备与结束时间</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C.工人休息时间                    D.非循环工作时间</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51.施工预算是依据（ ）编制的。</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A.预算定额      B.时间定额   C.施工定额     D.消耗定额</w:t>
      </w:r>
    </w:p>
    <w:p>
      <w:pPr>
        <w:widowControl w:val="0"/>
        <w:numPr>
          <w:ilvl w:val="0"/>
          <w:numId w:val="0"/>
        </w:numPr>
        <w:adjustRightInd w:val="0"/>
        <w:snapToGrid w:val="0"/>
        <w:spacing w:after="0" w:line="360" w:lineRule="auto"/>
        <w:jc w:val="both"/>
        <w:rPr>
          <w:rFonts w:hint="default"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52.</w:t>
      </w:r>
      <w:r>
        <w:rPr>
          <w:rFonts w:hint="default" w:ascii="仿宋_GB2312" w:hAnsi="仿宋_GB2312" w:eastAsia="仿宋_GB2312" w:cs="仿宋_GB2312"/>
          <w:color w:val="auto"/>
          <w:kern w:val="2"/>
          <w:sz w:val="30"/>
          <w:szCs w:val="30"/>
          <w:highlight w:val="none"/>
          <w:lang w:val="en-US" w:eastAsia="zh-CN" w:bidi="ar"/>
        </w:rPr>
        <w:t>根据《建设工程工程量清单计价规范》(GB50500—2013)，在招标文件未另有要求的情况下，投标报价的综合单价一般要考虑的风险因素是（ ）。</w:t>
      </w:r>
    </w:p>
    <w:p>
      <w:pPr>
        <w:widowControl w:val="0"/>
        <w:numPr>
          <w:ilvl w:val="0"/>
          <w:numId w:val="0"/>
        </w:numPr>
        <w:adjustRightInd w:val="0"/>
        <w:snapToGrid w:val="0"/>
        <w:spacing w:after="0" w:line="360" w:lineRule="auto"/>
        <w:jc w:val="both"/>
        <w:rPr>
          <w:rFonts w:hint="default" w:ascii="仿宋_GB2312" w:hAnsi="仿宋_GB2312" w:eastAsia="仿宋_GB2312" w:cs="仿宋_GB2312"/>
          <w:color w:val="auto"/>
          <w:kern w:val="2"/>
          <w:sz w:val="30"/>
          <w:szCs w:val="30"/>
          <w:highlight w:val="none"/>
          <w:lang w:val="en-US" w:eastAsia="zh-CN" w:bidi="ar"/>
        </w:rPr>
      </w:pPr>
      <w:r>
        <w:rPr>
          <w:rFonts w:hint="default" w:ascii="仿宋_GB2312" w:hAnsi="仿宋_GB2312" w:eastAsia="仿宋_GB2312" w:cs="仿宋_GB2312"/>
          <w:color w:val="auto"/>
          <w:kern w:val="2"/>
          <w:sz w:val="30"/>
          <w:szCs w:val="30"/>
          <w:highlight w:val="none"/>
          <w:lang w:val="en-US" w:eastAsia="zh-CN" w:bidi="ar"/>
        </w:rPr>
        <w:t>A.政策法规的变化                B.人工单价的市场变化</w:t>
      </w:r>
    </w:p>
    <w:p>
      <w:pPr>
        <w:widowControl w:val="0"/>
        <w:numPr>
          <w:ilvl w:val="0"/>
          <w:numId w:val="0"/>
        </w:numPr>
        <w:adjustRightInd w:val="0"/>
        <w:snapToGrid w:val="0"/>
        <w:spacing w:after="0" w:line="360" w:lineRule="auto"/>
        <w:jc w:val="both"/>
        <w:rPr>
          <w:rFonts w:hint="default" w:ascii="仿宋_GB2312" w:hAnsi="仿宋_GB2312" w:eastAsia="仿宋_GB2312" w:cs="仿宋_GB2312"/>
          <w:color w:val="auto"/>
          <w:kern w:val="2"/>
          <w:sz w:val="30"/>
          <w:szCs w:val="30"/>
          <w:highlight w:val="none"/>
          <w:lang w:val="en-US" w:eastAsia="zh-CN" w:bidi="ar"/>
        </w:rPr>
      </w:pPr>
      <w:r>
        <w:rPr>
          <w:rFonts w:hint="default" w:ascii="仿宋_GB2312" w:hAnsi="仿宋_GB2312" w:eastAsia="仿宋_GB2312" w:cs="仿宋_GB2312"/>
          <w:color w:val="auto"/>
          <w:kern w:val="2"/>
          <w:sz w:val="30"/>
          <w:szCs w:val="30"/>
          <w:highlight w:val="none"/>
          <w:lang w:val="en-US" w:eastAsia="zh-CN" w:bidi="ar"/>
        </w:rPr>
        <w:t>C.政府定价材料的价格变化        D.管理费、利润的风险</w:t>
      </w:r>
    </w:p>
    <w:p>
      <w:pPr>
        <w:widowControl w:val="0"/>
        <w:numPr>
          <w:ilvl w:val="0"/>
          <w:numId w:val="0"/>
        </w:numPr>
        <w:adjustRightInd w:val="0"/>
        <w:snapToGrid w:val="0"/>
        <w:spacing w:after="0" w:line="360" w:lineRule="auto"/>
        <w:jc w:val="both"/>
        <w:rPr>
          <w:rFonts w:hint="default"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53</w:t>
      </w:r>
      <w:r>
        <w:rPr>
          <w:rFonts w:hint="default" w:ascii="仿宋_GB2312" w:hAnsi="仿宋_GB2312" w:eastAsia="仿宋_GB2312" w:cs="仿宋_GB2312"/>
          <w:color w:val="auto"/>
          <w:kern w:val="2"/>
          <w:sz w:val="30"/>
          <w:szCs w:val="30"/>
          <w:highlight w:val="none"/>
          <w:lang w:val="en-US" w:eastAsia="zh-CN" w:bidi="ar"/>
        </w:rPr>
        <w:t xml:space="preserve">.材料预算价格是指工程材料由（ ）后的出库价格。 </w:t>
      </w:r>
    </w:p>
    <w:p>
      <w:pPr>
        <w:widowControl w:val="0"/>
        <w:numPr>
          <w:ilvl w:val="0"/>
          <w:numId w:val="0"/>
        </w:numPr>
        <w:adjustRightInd w:val="0"/>
        <w:snapToGrid w:val="0"/>
        <w:spacing w:after="0" w:line="360" w:lineRule="auto"/>
        <w:jc w:val="both"/>
        <w:rPr>
          <w:rFonts w:hint="default" w:ascii="仿宋_GB2312" w:hAnsi="仿宋_GB2312" w:eastAsia="仿宋_GB2312" w:cs="仿宋_GB2312"/>
          <w:color w:val="auto"/>
          <w:kern w:val="2"/>
          <w:sz w:val="30"/>
          <w:szCs w:val="30"/>
          <w:highlight w:val="none"/>
          <w:lang w:val="en-US" w:eastAsia="zh-CN" w:bidi="ar"/>
        </w:rPr>
      </w:pPr>
      <w:r>
        <w:rPr>
          <w:rFonts w:hint="default" w:ascii="仿宋_GB2312" w:hAnsi="仿宋_GB2312" w:eastAsia="仿宋_GB2312" w:cs="仿宋_GB2312"/>
          <w:color w:val="auto"/>
          <w:kern w:val="2"/>
          <w:sz w:val="30"/>
          <w:szCs w:val="30"/>
          <w:highlight w:val="none"/>
          <w:lang w:val="en-US" w:eastAsia="zh-CN" w:bidi="ar"/>
        </w:rPr>
        <w:t xml:space="preserve">A.来源地到达工地仓库         B.来源地到达工地附近车站 </w:t>
      </w:r>
    </w:p>
    <w:p>
      <w:pPr>
        <w:widowControl w:val="0"/>
        <w:numPr>
          <w:ilvl w:val="0"/>
          <w:numId w:val="0"/>
        </w:numPr>
        <w:adjustRightInd w:val="0"/>
        <w:snapToGrid w:val="0"/>
        <w:spacing w:after="0" w:line="360" w:lineRule="auto"/>
        <w:jc w:val="both"/>
        <w:rPr>
          <w:rFonts w:hint="default" w:ascii="仿宋_GB2312" w:hAnsi="仿宋_GB2312" w:eastAsia="仿宋_GB2312" w:cs="仿宋_GB2312"/>
          <w:color w:val="auto"/>
          <w:kern w:val="2"/>
          <w:sz w:val="30"/>
          <w:szCs w:val="30"/>
          <w:highlight w:val="none"/>
          <w:lang w:val="en-US" w:eastAsia="zh-CN" w:bidi="ar"/>
        </w:rPr>
      </w:pPr>
      <w:r>
        <w:rPr>
          <w:rFonts w:hint="default" w:ascii="仿宋_GB2312" w:hAnsi="仿宋_GB2312" w:eastAsia="仿宋_GB2312" w:cs="仿宋_GB2312"/>
          <w:color w:val="auto"/>
          <w:kern w:val="2"/>
          <w:sz w:val="30"/>
          <w:szCs w:val="30"/>
          <w:highlight w:val="none"/>
          <w:lang w:val="en-US" w:eastAsia="zh-CN" w:bidi="ar"/>
        </w:rPr>
        <w:t>C.交货地到达工地附近车站     D.货源附近车站到达工地仓库</w:t>
      </w:r>
    </w:p>
    <w:p>
      <w:pPr>
        <w:widowControl w:val="0"/>
        <w:numPr>
          <w:ilvl w:val="0"/>
          <w:numId w:val="0"/>
        </w:numPr>
        <w:adjustRightInd w:val="0"/>
        <w:snapToGrid w:val="0"/>
        <w:spacing w:after="0" w:line="360" w:lineRule="auto"/>
        <w:jc w:val="both"/>
        <w:rPr>
          <w:rFonts w:hint="default"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54.</w:t>
      </w:r>
      <w:r>
        <w:rPr>
          <w:rFonts w:hint="default" w:ascii="仿宋_GB2312" w:hAnsi="仿宋_GB2312" w:eastAsia="仿宋_GB2312" w:cs="仿宋_GB2312"/>
          <w:color w:val="auto"/>
          <w:kern w:val="2"/>
          <w:sz w:val="30"/>
          <w:szCs w:val="30"/>
          <w:highlight w:val="none"/>
          <w:lang w:val="en-US" w:eastAsia="zh-CN" w:bidi="ar"/>
        </w:rPr>
        <w:t>根据建筑安装工程定额编制的原则,按社会平均先进水平编制的是（ ）。</w:t>
      </w:r>
    </w:p>
    <w:p>
      <w:pPr>
        <w:widowControl w:val="0"/>
        <w:numPr>
          <w:ilvl w:val="0"/>
          <w:numId w:val="0"/>
        </w:numPr>
        <w:adjustRightInd w:val="0"/>
        <w:snapToGrid w:val="0"/>
        <w:spacing w:after="0" w:line="360" w:lineRule="auto"/>
        <w:jc w:val="both"/>
        <w:rPr>
          <w:rFonts w:hint="default" w:ascii="仿宋_GB2312" w:hAnsi="仿宋_GB2312" w:eastAsia="仿宋_GB2312" w:cs="仿宋_GB2312"/>
          <w:color w:val="auto"/>
          <w:kern w:val="2"/>
          <w:sz w:val="30"/>
          <w:szCs w:val="30"/>
          <w:highlight w:val="none"/>
          <w:lang w:val="en-US" w:eastAsia="zh-CN" w:bidi="ar"/>
        </w:rPr>
      </w:pPr>
      <w:r>
        <w:rPr>
          <w:rFonts w:hint="default" w:ascii="仿宋_GB2312" w:hAnsi="仿宋_GB2312" w:eastAsia="仿宋_GB2312" w:cs="仿宋_GB2312"/>
          <w:color w:val="auto"/>
          <w:kern w:val="2"/>
          <w:sz w:val="30"/>
          <w:szCs w:val="30"/>
          <w:highlight w:val="none"/>
          <w:lang w:val="en-US" w:eastAsia="zh-CN" w:bidi="ar"/>
        </w:rPr>
        <w:t xml:space="preserve">A.预算定额     B.施工定额    C.概算定额      D.概算指标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55.下列施工合同文件中，解释顺序最为优先的是（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A.合同协议书        B.中标通知书</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C.专用合同条款      D.通用合同条款</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56.为合理划分发承包双方的合同风险，对于招标工程，在施工合同中约定的基准日期一般为（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A.招标文件中规定的提交投标文件截止时间前的第28天</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B.招标文件中规定的提交投标文件截止时间前的第42天</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C.施工合同签订前的第28天</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D.施工合同签订前的第42天</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57.施工招标工程量清单中，应由投标人自主报价的其他项目是（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A.专业工程暂估价</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B.暂列金额</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C.工程设备暂估价</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D.计日工单价</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58.根据《评标委员会和评标方法暂行规定》等，评标委员会评标发现的投标报价算术错误，应由（ ）进行修正。</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A.评标委员会</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B.招标监督机构</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C.招标人</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D.投标人</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59.施工投投标报价工作包括：①工程现场调查；②组建投标报价班子；③确定基础标价；④制订项目管理规划；⑤复核清单工程量。下列工作排序正确的是 （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A.①④②③⑤</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B.②③④①⑤</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C.①②③④⑤</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D.②①⑤④③</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60.下列情形中，属于投标人弄虚作假骗取中标的是（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A.投标人借用他人资质证书投标</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B.投标人之间协商投标报价，共同抬高投标报价</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C.投标人之间约定中标人</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D.投标人向招标人或者评标委员会成员行贿谋取中标</w:t>
      </w:r>
    </w:p>
    <w:p>
      <w:pPr>
        <w:keepNext w:val="0"/>
        <w:keepLines w:val="0"/>
        <w:pageBreakBefore w:val="0"/>
        <w:kinsoku/>
        <w:wordWrap/>
        <w:overflowPunct/>
        <w:topLinePunct w:val="0"/>
        <w:autoSpaceDE/>
        <w:autoSpaceDN/>
        <w:bidi w:val="0"/>
        <w:spacing w:after="0" w:line="360" w:lineRule="auto"/>
        <w:jc w:val="both"/>
        <w:textAlignment w:val="auto"/>
        <w:rPr>
          <w:rFonts w:hint="eastAsia" w:ascii="仿宋_GB2312" w:hAnsi="仿宋_GB2312" w:eastAsia="仿宋_GB2312" w:cs="仿宋_GB2312"/>
          <w:color w:val="auto"/>
          <w:kern w:val="2"/>
          <w:sz w:val="28"/>
          <w:szCs w:val="28"/>
          <w:lang w:val="en-US" w:eastAsia="zh-CN" w:bidi="ar"/>
        </w:rPr>
      </w:pPr>
      <w:bookmarkStart w:id="0" w:name="_GoBack"/>
      <w:r>
        <w:rPr>
          <w:rFonts w:hint="eastAsia" w:ascii="仿宋_GB2312" w:hAnsi="仿宋_GB2312" w:eastAsia="仿宋_GB2312" w:cs="仿宋_GB2312"/>
          <w:b/>
          <w:bCs/>
          <w:color w:val="auto"/>
          <w:kern w:val="2"/>
          <w:sz w:val="28"/>
          <w:szCs w:val="28"/>
          <w:lang w:val="en-US" w:eastAsia="zh-CN" w:bidi="ar"/>
        </w:rPr>
        <w:t>二、 多选题，20道，每道题的备选项中，有2个或2个以上符合题意的，至少有1个错项。每题2分。错选本题不得分；少选，所选的每个选项得0.5分。</w:t>
      </w:r>
      <w:bookmarkEnd w:id="0"/>
      <w:r>
        <w:rPr>
          <w:rFonts w:hint="eastAsia" w:ascii="仿宋_GB2312" w:hAnsi="仿宋_GB2312" w:eastAsia="仿宋_GB2312" w:cs="仿宋_GB2312"/>
          <w:color w:val="auto"/>
          <w:kern w:val="2"/>
          <w:sz w:val="28"/>
          <w:szCs w:val="28"/>
          <w:lang w:val="en-US" w:eastAsia="zh-CN" w:bidi="ar"/>
        </w:rPr>
        <w:t xml:space="preserve">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1.双代号网络计划图中， 虚工作（箭线）的作用（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A.强调作用      B.分层作用      C.区分作用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D.联系作用      E.断路作用</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2.下列费用中，属于施工企业管理费的有（  ）。</w:t>
      </w:r>
    </w:p>
    <w:p>
      <w:pPr>
        <w:widowControl w:val="0"/>
        <w:numPr>
          <w:ilvl w:val="0"/>
          <w:numId w:val="0"/>
        </w:numPr>
        <w:adjustRightInd w:val="0"/>
        <w:snapToGrid w:val="0"/>
        <w:spacing w:after="0" w:line="360" w:lineRule="auto"/>
        <w:jc w:val="both"/>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A.施工人员工资性津贴      B.职工集体福利费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C.施工现场场地清理费      D.劳动保护费                  E.工程点交费</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3.编制人工定额时，工人必需消耗的工作时间包括（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A.多余和偶然工作时间           B.休息时间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C.辅助工作时间         D.施工本身造成的停工时间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E.准备与结束工作时间</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4.下列投标文件偏差中，属于重大投标偏差的是（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A.投标文件载明的货物包装方式不符合要求</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B.报价中存在个别漏项</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C.投标总价金额与依据单价计算结果不一致</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D.投标文件载明的招标项目完成期限超过招标文件规定的期限</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E.提供的担保存在瑕疵</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5.国际工程招标一般采用最低价中标或合理低价中标方式,标价由（ ）等其他费用组成。</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A.直接费用       B.间接费用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C.利润           D.风险费          E.规费</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6.合同争议的解决方式有（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A.和解        B.仲裁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C.行政复议    D.诉讼      E.调解</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7.每一发包工作内容选用哪种合同类型，应根据工程项目特点、技术经济指标以及确保工程成本、工期和质量的要求等因素综合考虑后决定。合同类型选取的主要影响因素有（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A.项目规模和复杂程度</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B.工程设计的具体、明确程度</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C.施工技术</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D.对施工要求的紧迫程度</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E.工程质量</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8.定标成交阶段的主要工作包括（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A.开标   B.评标    C.定标    D.合同签订    E.履约</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9.下列选项中属于装配式混凝土建筑结构设计中的拆分设计原则的是（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A.应考虑结构的合理性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B.考虑专业的合理性</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C.接缝选在应力较小的部位</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D.应在应力较大部位设置后浇带</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E.尽可能统一和减少构件规格</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10.关于编制招标文件的说法，正确的是（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A.招标人对已发出的招标文件进行必要的澄清或者修改的，可以以口头的形式通知所有招标文件接受人</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B.招标人应当根据招标项目的特点和需要编制招标文件</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C.国家对招标项目的技术、标准有规定的，招标人应当按照其规定在招标文件中提出相应要求</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D.招标文件中不得要求或者标明特定的生产供应者以及含有倾向或者排斥潜在投标人的其他内容</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E.招标人对已发出的招标文件进行必要的澄清或者修改的内容为招标文件的组成部分</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11.关于工程变更的范围，下列说法正确的有（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A.取消合同中任何一项工作，且被取消的工作由发包人或其他人实施</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B.改变合同中任何一项工作的质量或其他特性</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C.改变合同工程的基线、标高、位置或尺寸</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D.改变合同中任何一项工作的施工时间</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E.为完成工程需要追加的额外工作</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12.关于建设工程施工合同解除的说法，正确的有（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A.施工合同当事人协商一致，可以解除</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B.发生不可抗力时合同的解除</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C.当事人违约时合同无法解除</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D.承包人将其承包的全部工程转包给他人或者肢解后以分包的名义分别转包给他人的，发包人有权解除合同</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E.合同当事人一方的违约致使合同无法履行的，对方可以解除合同</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13.与传统贷款方式相比，项目融资模式的特点是（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A.以项目投资人的资信为基础安排融资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B.贷款人可以对项目投资人进行完全追索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C.帮助投资人将贷款安排成非公司负债型融资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D.信用结构安排灵活多样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E.组织融资所需时间较长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14.关于建设工程竣工结算的办理，下列说法中正确的有（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A.竣工结算文件经发承包人双方签字确认的，应当作为工程结算的依据</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B.竣工结算文件由发包人组织编制，承包人组织核对</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C.造价咨询机构审核结论与承包人竣工结算文件不一致时，以审核结论为准</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D.合同双方对复核后的竣工结算有异议时，可以就无异议部分的工程办理不完全竣工结算</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E.竣工结算办理完毕，复核后仍有异议的，有异议部分由发承包双方协商解决，协商不成的，按照合同约定的争议解决方式处理15.对建设单位而言，工程项目总分包模式的特点有（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A.需要管理的合同数量多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B.组织管理和协调工作量少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C.选择的总承包单位范围小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D.不利于控制工程造价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E.有利于缩短建设周期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16.材料询价的内容包括（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A.材料价格          B.供应数量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C.运输方式          D.保险和有效期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E.种类和销量</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17.下列事件的发生，按照《标准施工招标文件》中相关合同条件，只获得费用补偿的有（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A.基准日后法律的变化</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B.工程师对已覆盖的隐蔽工程要求重新检查且检查结果不合格</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C.工程移交后因发包人原因出现的新的缺陷或损坏的修复</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D.发包人提供工程设备不合格</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E.工程移交后因发包人原因出现的缺陷修复后的试验和试运行</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18.工程项目施工投标的投标阶段工作主要有（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A.招标信息跟踪</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B.接受资格审查</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C.分析招标文件，调查投标环境</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D.编制投标文件和办理投标担保</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E.送达投标文件并取得投标担保回执</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19.组织流水施工，表达流水施工所处状态时间参数的是（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 xml:space="preserve">A.流水强度     B.流水节拍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C.流水步距     D.流水施工工期     E.总时差和自由时差</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20.建设单位应认真做好工程竣工验收的准备工作，主要内容包括（ ）。</w:t>
      </w:r>
    </w:p>
    <w:p>
      <w:pPr>
        <w:widowControl w:val="0"/>
        <w:numPr>
          <w:ilvl w:val="0"/>
          <w:numId w:val="0"/>
        </w:numPr>
        <w:adjustRightInd w:val="0"/>
        <w:snapToGrid w:val="0"/>
        <w:spacing w:after="0" w:line="360" w:lineRule="auto"/>
        <w:jc w:val="left"/>
        <w:rPr>
          <w:rFonts w:hint="eastAsia"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A.整理技术资料    B.绘制竣工图</w:t>
      </w:r>
    </w:p>
    <w:p>
      <w:pPr>
        <w:widowControl w:val="0"/>
        <w:numPr>
          <w:ilvl w:val="0"/>
          <w:numId w:val="0"/>
        </w:numPr>
        <w:adjustRightInd w:val="0"/>
        <w:snapToGrid w:val="0"/>
        <w:spacing w:after="0" w:line="360" w:lineRule="auto"/>
        <w:jc w:val="left"/>
        <w:rPr>
          <w:rFonts w:hint="default" w:ascii="仿宋_GB2312" w:hAnsi="仿宋_GB2312" w:eastAsia="仿宋_GB2312" w:cs="仿宋_GB2312"/>
          <w:color w:val="auto"/>
          <w:kern w:val="2"/>
          <w:sz w:val="30"/>
          <w:szCs w:val="30"/>
          <w:highlight w:val="none"/>
          <w:lang w:val="en-US" w:eastAsia="zh-CN" w:bidi="ar"/>
        </w:rPr>
      </w:pPr>
      <w:r>
        <w:rPr>
          <w:rFonts w:hint="eastAsia" w:ascii="仿宋_GB2312" w:hAnsi="仿宋_GB2312" w:eastAsia="仿宋_GB2312" w:cs="仿宋_GB2312"/>
          <w:color w:val="auto"/>
          <w:kern w:val="2"/>
          <w:sz w:val="30"/>
          <w:szCs w:val="30"/>
          <w:highlight w:val="none"/>
          <w:lang w:val="en-US" w:eastAsia="zh-CN" w:bidi="ar"/>
        </w:rPr>
        <w:t>C.技术准备      D.生产运营管理      E.编制竣工决算</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default" w:ascii="仿宋_GB2312" w:hAnsi="仿宋_GB2312" w:eastAsia="仿宋_GB2312" w:cs="仿宋_GB2312"/>
          <w:color w:val="auto"/>
          <w:kern w:val="2"/>
          <w:sz w:val="30"/>
          <w:szCs w:val="30"/>
          <w:highlight w:val="none"/>
          <w:lang w:val="en-US" w:eastAsia="zh-CN" w:bidi="ar"/>
        </w:rPr>
      </w:pPr>
    </w:p>
    <w:p>
      <w:pPr>
        <w:spacing w:after="0" w:line="360" w:lineRule="auto"/>
        <w:jc w:val="both"/>
        <w:rPr>
          <w:rFonts w:hint="default" w:ascii="仿宋_GB2312" w:hAnsi="仿宋_GB2312" w:eastAsia="仿宋_GB2312" w:cs="仿宋_GB2312"/>
          <w:color w:val="auto"/>
          <w:kern w:val="2"/>
          <w:sz w:val="28"/>
          <w:szCs w:val="28"/>
          <w:lang w:val="en-US" w:eastAsia="zh-CN" w:bidi="ar"/>
        </w:rPr>
      </w:pPr>
    </w:p>
    <w:p>
      <w:pPr>
        <w:pStyle w:val="2"/>
        <w:keepNext w:val="0"/>
        <w:keepLines w:val="0"/>
        <w:pageBreakBefore w:val="0"/>
        <w:widowControl/>
        <w:kinsoku/>
        <w:wordWrap/>
        <w:overflowPunct/>
        <w:topLinePunct w:val="0"/>
        <w:autoSpaceDE/>
        <w:autoSpaceDN/>
        <w:bidi w:val="0"/>
        <w:adjustRightInd/>
        <w:snapToGrid/>
        <w:spacing w:before="62" w:line="360" w:lineRule="auto"/>
        <w:ind w:left="5"/>
        <w:textAlignment w:val="auto"/>
        <w:rPr>
          <w:rFonts w:hint="default" w:ascii="仿宋_GB2312" w:hAnsi="仿宋_GB2312" w:eastAsia="仿宋_GB2312" w:cs="仿宋_GB2312"/>
          <w:color w:val="auto"/>
          <w:kern w:val="2"/>
          <w:sz w:val="30"/>
          <w:szCs w:val="30"/>
          <w:highlight w:val="green"/>
          <w:lang w:val="en-US" w:eastAsia="zh-CN" w:bidi="ar"/>
        </w:rPr>
      </w:pPr>
    </w:p>
    <w:p>
      <w:pPr>
        <w:jc w:val="left"/>
        <w:rPr>
          <w:rFonts w:hint="default" w:ascii="仿宋_GB2312" w:hAnsi="仿宋_GB2312" w:eastAsia="仿宋_GB2312" w:cs="仿宋_GB2312"/>
          <w:sz w:val="28"/>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YTRiYjFhYzdhODYzODk1YzJhZDJmMTFkZDNiNmYifQ=="/>
  </w:docVars>
  <w:rsids>
    <w:rsidRoot w:val="10C30B3A"/>
    <w:rsid w:val="10C30B3A"/>
    <w:rsid w:val="2B947A13"/>
    <w:rsid w:val="670F5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1"/>
      <w:szCs w:val="21"/>
      <w:lang w:val="en-US" w:eastAsia="en-US" w:bidi="ar-SA"/>
    </w:rPr>
  </w:style>
  <w:style w:type="paragraph" w:styleId="5">
    <w:name w:val="List Paragraph"/>
    <w:basedOn w:val="1"/>
    <w:qFormat/>
    <w:uiPriority w:val="34"/>
    <w:pPr>
      <w:ind w:firstLine="420" w:firstLineChars="200"/>
    </w:pPr>
  </w:style>
  <w:style w:type="table" w:customStyle="1" w:styleId="6">
    <w:name w:val="Table Normal"/>
    <w:basedOn w:val="3"/>
    <w:semiHidden/>
    <w:qFormat/>
    <w:uiPriority w:val="0"/>
    <w:rPr>
      <w:rFonts w:ascii="Calibri" w:hAnsi="Calibri" w:eastAsia="宋体" w:cs="Times New Roman"/>
      <w:kern w:val="0"/>
      <w:sz w:val="20"/>
      <w:szCs w:val="20"/>
    </w:rPr>
    <w:tblPr>
      <w:tblCellMar>
        <w:left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2023-11-14T02:19:00Z</dcterms:created>
  <dc:creator>Down.</dc:creator>
  <cp:lastModifiedBy>admin</cp:lastModifiedBy>
  <dcterms:modified xsi:type="dcterms:W3CDTF">2023-11-14T08:00:55Z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25FE4F862C404F11AB0A44916B68971E_11</vt:lpwstr>
  </property>
</Properties>
</file>